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00" w:rsidRPr="00733C06" w:rsidRDefault="004E3938" w:rsidP="00733C06">
      <w:pPr>
        <w:ind w:firstLine="0"/>
        <w:contextualSpacing/>
        <w:jc w:val="center"/>
        <w:rPr>
          <w:b/>
          <w:sz w:val="32"/>
          <w:lang w:val="en-US"/>
        </w:rPr>
      </w:pPr>
      <w:r w:rsidRPr="00733C06">
        <w:rPr>
          <w:b/>
          <w:sz w:val="32"/>
          <w:lang w:val="en-US"/>
        </w:rPr>
        <w:t>Bài tham luận</w:t>
      </w:r>
    </w:p>
    <w:p w:rsidR="00733C06" w:rsidRPr="00733C06" w:rsidRDefault="004E3938" w:rsidP="00733C06">
      <w:pPr>
        <w:ind w:firstLine="0"/>
        <w:contextualSpacing/>
        <w:jc w:val="center"/>
        <w:rPr>
          <w:b/>
          <w:sz w:val="32"/>
          <w:lang w:val="en-US"/>
        </w:rPr>
      </w:pPr>
      <w:r w:rsidRPr="00733C06">
        <w:rPr>
          <w:b/>
          <w:sz w:val="32"/>
          <w:lang w:val="en-US"/>
        </w:rPr>
        <w:t xml:space="preserve">Liên kết chuỗi trong nông nghiệp và sản xuất cà phê </w:t>
      </w:r>
    </w:p>
    <w:p w:rsidR="004E3938" w:rsidRDefault="004E3938" w:rsidP="00733C06">
      <w:pPr>
        <w:ind w:firstLine="0"/>
        <w:contextualSpacing/>
        <w:jc w:val="center"/>
        <w:rPr>
          <w:lang w:val="en-US"/>
        </w:rPr>
      </w:pPr>
      <w:r w:rsidRPr="00733C06">
        <w:rPr>
          <w:b/>
          <w:sz w:val="32"/>
          <w:lang w:val="en-US"/>
        </w:rPr>
        <w:t>để phát triển bền vững</w:t>
      </w:r>
    </w:p>
    <w:p w:rsidR="004E3938" w:rsidRPr="008865E4" w:rsidRDefault="00733C06" w:rsidP="00733C06">
      <w:pPr>
        <w:jc w:val="right"/>
        <w:rPr>
          <w:b/>
          <w:i/>
          <w:lang w:val="en-US"/>
        </w:rPr>
      </w:pPr>
      <w:r w:rsidRPr="008865E4">
        <w:rPr>
          <w:b/>
          <w:i/>
          <w:lang w:val="en-US"/>
        </w:rPr>
        <w:t>Nguyễn Đỗ Anh Tuấn</w:t>
      </w:r>
    </w:p>
    <w:p w:rsidR="00A002E1" w:rsidRPr="008865E4" w:rsidRDefault="000F02BB" w:rsidP="008865E4">
      <w:pPr>
        <w:ind w:firstLine="567"/>
        <w:jc w:val="both"/>
        <w:rPr>
          <w:sz w:val="28"/>
          <w:szCs w:val="28"/>
          <w:lang w:val="en-US"/>
        </w:rPr>
      </w:pPr>
      <w:r w:rsidRPr="008865E4">
        <w:rPr>
          <w:sz w:val="28"/>
          <w:szCs w:val="28"/>
          <w:lang w:val="en-US"/>
        </w:rPr>
        <w:t>Sau 30 năm đổi mới,</w:t>
      </w:r>
      <w:r w:rsidR="00E3564B" w:rsidRPr="008865E4">
        <w:rPr>
          <w:sz w:val="28"/>
          <w:szCs w:val="28"/>
          <w:lang w:val="en-US"/>
        </w:rPr>
        <w:t xml:space="preserve"> khu vực</w:t>
      </w:r>
      <w:r w:rsidRPr="008865E4">
        <w:rPr>
          <w:sz w:val="28"/>
          <w:szCs w:val="28"/>
          <w:lang w:val="en-US"/>
        </w:rPr>
        <w:t xml:space="preserve"> nông</w:t>
      </w:r>
      <w:r w:rsidR="00E3564B" w:rsidRPr="008865E4">
        <w:rPr>
          <w:sz w:val="28"/>
          <w:szCs w:val="28"/>
          <w:lang w:val="en-US"/>
        </w:rPr>
        <w:t>, lâm</w:t>
      </w:r>
      <w:r w:rsidRPr="008865E4">
        <w:rPr>
          <w:sz w:val="28"/>
          <w:szCs w:val="28"/>
          <w:lang w:val="en-US"/>
        </w:rPr>
        <w:t xml:space="preserve"> nghiệp</w:t>
      </w:r>
      <w:r w:rsidR="00E3564B" w:rsidRPr="008865E4">
        <w:rPr>
          <w:sz w:val="28"/>
          <w:szCs w:val="28"/>
          <w:lang w:val="en-US"/>
        </w:rPr>
        <w:t xml:space="preserve"> và thủy sản</w:t>
      </w:r>
      <w:r w:rsidR="00645AFC" w:rsidRPr="008865E4">
        <w:rPr>
          <w:sz w:val="28"/>
          <w:szCs w:val="28"/>
          <w:lang w:val="en-US"/>
        </w:rPr>
        <w:t xml:space="preserve"> (NLTS)</w:t>
      </w:r>
      <w:r w:rsidR="00066A98" w:rsidRPr="008865E4">
        <w:rPr>
          <w:sz w:val="28"/>
          <w:szCs w:val="28"/>
          <w:lang w:val="en-US"/>
        </w:rPr>
        <w:t xml:space="preserve"> </w:t>
      </w:r>
      <w:r w:rsidRPr="008865E4">
        <w:rPr>
          <w:sz w:val="28"/>
          <w:szCs w:val="28"/>
          <w:lang w:val="en-US"/>
        </w:rPr>
        <w:t>đã đạt được nhiều thành tựu ấn tượng</w:t>
      </w:r>
      <w:r w:rsidR="00724386" w:rsidRPr="008865E4">
        <w:rPr>
          <w:sz w:val="28"/>
          <w:szCs w:val="28"/>
          <w:lang w:val="en-US"/>
        </w:rPr>
        <w:t>: t</w:t>
      </w:r>
      <w:r w:rsidR="00281483" w:rsidRPr="008865E4">
        <w:rPr>
          <w:sz w:val="28"/>
          <w:szCs w:val="28"/>
          <w:lang w:val="en-US"/>
        </w:rPr>
        <w:t>ăng trưởng nhanh, ổn định trong một thời gian dài, đa dạng hóa và chuyển dịch cơ cấu theo hướng tích cực</w:t>
      </w:r>
      <w:r w:rsidR="00724386" w:rsidRPr="008865E4">
        <w:rPr>
          <w:sz w:val="28"/>
          <w:szCs w:val="28"/>
          <w:lang w:val="en-US"/>
        </w:rPr>
        <w:t>; đ</w:t>
      </w:r>
      <w:r w:rsidR="00281483" w:rsidRPr="008865E4">
        <w:rPr>
          <w:sz w:val="28"/>
          <w:szCs w:val="28"/>
          <w:lang w:val="en-US"/>
        </w:rPr>
        <w:t>ảm bảo an ninh lương thực</w:t>
      </w:r>
      <w:r w:rsidR="00724386" w:rsidRPr="008865E4">
        <w:rPr>
          <w:sz w:val="28"/>
          <w:szCs w:val="28"/>
          <w:lang w:val="en-US"/>
        </w:rPr>
        <w:t>; k</w:t>
      </w:r>
      <w:r w:rsidR="00281483" w:rsidRPr="008865E4">
        <w:rPr>
          <w:sz w:val="28"/>
          <w:szCs w:val="28"/>
          <w:lang w:val="en-US"/>
        </w:rPr>
        <w:t>hối lượng và giá trị xuất khẩu nông sản tăng nhanh, nhiều mặt hàng nông sản đã có vị thế cao trên thị trường thế giới</w:t>
      </w:r>
      <w:r w:rsidR="00724386" w:rsidRPr="008865E4">
        <w:rPr>
          <w:sz w:val="28"/>
          <w:szCs w:val="28"/>
          <w:lang w:val="en-US"/>
        </w:rPr>
        <w:t xml:space="preserve"> (</w:t>
      </w:r>
      <w:r w:rsidR="00281483" w:rsidRPr="008865E4">
        <w:rPr>
          <w:sz w:val="28"/>
          <w:szCs w:val="28"/>
          <w:lang w:val="en-US"/>
        </w:rPr>
        <w:t>hạt điều, hạt tiêu đứng thứ nhất; gạo, cà phê đứng thứ hai, cao su đứng thứ tư, thủy sản, chè đứng thứ sáu, đồ gỗ nội, ngoại thất cũng đem lại nguồn thu ngoại tệ lớn cho đất nước</w:t>
      </w:r>
      <w:r w:rsidR="00724386" w:rsidRPr="008865E4">
        <w:rPr>
          <w:sz w:val="28"/>
          <w:szCs w:val="28"/>
          <w:lang w:val="en-US"/>
        </w:rPr>
        <w:t xml:space="preserve">, một số mặt hàng khác cũng đang có tiềm năng tăng trưởng xuất khẩu trong tương lai như sắn, rau, hoa, quả); </w:t>
      </w:r>
      <w:r w:rsidR="00281483" w:rsidRPr="008865E4">
        <w:rPr>
          <w:sz w:val="28"/>
          <w:szCs w:val="28"/>
          <w:lang w:val="en-US"/>
        </w:rPr>
        <w:t>góp phần phát triển nông thôn và xóa đói giảm nghèo.</w:t>
      </w:r>
    </w:p>
    <w:p w:rsidR="005A5FD0" w:rsidRPr="008865E4" w:rsidRDefault="0092144D" w:rsidP="008865E4">
      <w:pPr>
        <w:ind w:firstLine="567"/>
        <w:jc w:val="both"/>
        <w:rPr>
          <w:sz w:val="28"/>
          <w:szCs w:val="28"/>
          <w:lang w:val="en-US"/>
        </w:rPr>
      </w:pPr>
      <w:r w:rsidRPr="008865E4">
        <w:rPr>
          <w:sz w:val="28"/>
          <w:szCs w:val="28"/>
          <w:lang w:val="en-US"/>
        </w:rPr>
        <w:t xml:space="preserve">Ngành cà phê đã có những đóng góp không nhỏ vào thành tựu chung của </w:t>
      </w:r>
      <w:r w:rsidR="001E66EB" w:rsidRPr="008865E4">
        <w:rPr>
          <w:sz w:val="28"/>
          <w:szCs w:val="28"/>
          <w:lang w:val="en-US"/>
        </w:rPr>
        <w:t xml:space="preserve">khu vực </w:t>
      </w:r>
      <w:r w:rsidR="00645AFC" w:rsidRPr="008865E4">
        <w:rPr>
          <w:sz w:val="28"/>
          <w:szCs w:val="28"/>
          <w:lang w:val="en-US"/>
        </w:rPr>
        <w:t>NLTS</w:t>
      </w:r>
      <w:r w:rsidRPr="008865E4">
        <w:rPr>
          <w:sz w:val="28"/>
          <w:szCs w:val="28"/>
          <w:lang w:val="en-US"/>
        </w:rPr>
        <w:t xml:space="preserve">. </w:t>
      </w:r>
      <w:r w:rsidR="00085C16" w:rsidRPr="008865E4">
        <w:rPr>
          <w:sz w:val="28"/>
          <w:szCs w:val="28"/>
          <w:lang w:val="en-US"/>
        </w:rPr>
        <w:t>Diện tích, năng suất và sản lượng</w:t>
      </w:r>
      <w:r w:rsidRPr="008865E4">
        <w:rPr>
          <w:sz w:val="28"/>
          <w:szCs w:val="28"/>
          <w:lang w:val="en-US"/>
        </w:rPr>
        <w:t xml:space="preserve"> cà phê</w:t>
      </w:r>
      <w:r w:rsidR="00085C16" w:rsidRPr="008865E4">
        <w:rPr>
          <w:sz w:val="28"/>
          <w:szCs w:val="28"/>
          <w:lang w:val="en-US"/>
        </w:rPr>
        <w:t xml:space="preserve"> có bước tăng trưởng vượt bậc.</w:t>
      </w:r>
      <w:r w:rsidRPr="008865E4">
        <w:rPr>
          <w:sz w:val="28"/>
          <w:szCs w:val="28"/>
          <w:lang w:val="en-US"/>
        </w:rPr>
        <w:t xml:space="preserve"> Diện tích cà phê cả nước đã tăng</w:t>
      </w:r>
      <w:r w:rsidR="004E6871" w:rsidRPr="008865E4">
        <w:rPr>
          <w:sz w:val="28"/>
          <w:szCs w:val="28"/>
          <w:lang w:val="en-US"/>
        </w:rPr>
        <w:t xml:space="preserve"> gần</w:t>
      </w:r>
      <w:r w:rsidRPr="008865E4">
        <w:rPr>
          <w:sz w:val="28"/>
          <w:szCs w:val="28"/>
          <w:lang w:val="en-US"/>
        </w:rPr>
        <w:t xml:space="preserve"> 29 lần, từ 21,2 </w:t>
      </w:r>
      <w:r w:rsidR="00F10916" w:rsidRPr="008865E4">
        <w:rPr>
          <w:sz w:val="28"/>
          <w:szCs w:val="28"/>
          <w:lang w:val="en-US"/>
        </w:rPr>
        <w:t>nghìn</w:t>
      </w:r>
      <w:r w:rsidRPr="008865E4">
        <w:rPr>
          <w:sz w:val="28"/>
          <w:szCs w:val="28"/>
          <w:lang w:val="en-US"/>
        </w:rPr>
        <w:t xml:space="preserve"> ha năm 1961 lên </w:t>
      </w:r>
      <w:r w:rsidR="004E6871" w:rsidRPr="008865E4">
        <w:rPr>
          <w:sz w:val="28"/>
          <w:szCs w:val="28"/>
          <w:lang w:val="en-US"/>
        </w:rPr>
        <w:t>604,6</w:t>
      </w:r>
      <w:r w:rsidRPr="008865E4">
        <w:rPr>
          <w:sz w:val="28"/>
          <w:szCs w:val="28"/>
          <w:lang w:val="en-US"/>
        </w:rPr>
        <w:t xml:space="preserve"> </w:t>
      </w:r>
      <w:r w:rsidR="00F10916" w:rsidRPr="008865E4">
        <w:rPr>
          <w:sz w:val="28"/>
          <w:szCs w:val="28"/>
          <w:lang w:val="en-US"/>
        </w:rPr>
        <w:t>nghìn</w:t>
      </w:r>
      <w:r w:rsidRPr="008865E4">
        <w:rPr>
          <w:sz w:val="28"/>
          <w:szCs w:val="28"/>
          <w:lang w:val="en-US"/>
        </w:rPr>
        <w:t xml:space="preserve"> ha năm 201</w:t>
      </w:r>
      <w:r w:rsidR="004E6871" w:rsidRPr="008865E4">
        <w:rPr>
          <w:sz w:val="28"/>
          <w:szCs w:val="28"/>
          <w:lang w:val="en-US"/>
        </w:rPr>
        <w:t>6</w:t>
      </w:r>
      <w:r w:rsidRPr="008865E4">
        <w:rPr>
          <w:sz w:val="28"/>
          <w:szCs w:val="28"/>
          <w:lang w:val="en-US"/>
        </w:rPr>
        <w:t xml:space="preserve">. Năng suất cà phê cũng tăng nhanh. </w:t>
      </w:r>
      <w:r w:rsidR="004E6871" w:rsidRPr="008865E4">
        <w:rPr>
          <w:sz w:val="28"/>
          <w:szCs w:val="28"/>
          <w:lang w:val="en-US"/>
        </w:rPr>
        <w:t>N</w:t>
      </w:r>
      <w:r w:rsidRPr="008865E4">
        <w:rPr>
          <w:sz w:val="28"/>
          <w:szCs w:val="28"/>
          <w:lang w:val="en-US"/>
        </w:rPr>
        <w:t>ăng suất cà phê</w:t>
      </w:r>
      <w:r w:rsidR="004E6871" w:rsidRPr="008865E4">
        <w:rPr>
          <w:sz w:val="28"/>
          <w:szCs w:val="28"/>
          <w:lang w:val="en-US"/>
        </w:rPr>
        <w:t xml:space="preserve"> niên vụ 2015/16</w:t>
      </w:r>
      <w:r w:rsidRPr="008865E4">
        <w:rPr>
          <w:sz w:val="28"/>
          <w:szCs w:val="28"/>
          <w:lang w:val="en-US"/>
        </w:rPr>
        <w:t xml:space="preserve"> của Việt Nam</w:t>
      </w:r>
      <w:r w:rsidR="004E6871" w:rsidRPr="008865E4">
        <w:rPr>
          <w:sz w:val="28"/>
          <w:szCs w:val="28"/>
          <w:lang w:val="en-US"/>
        </w:rPr>
        <w:t xml:space="preserve"> đạt 2,43 tấn/ha,</w:t>
      </w:r>
      <w:r w:rsidR="00DD770D" w:rsidRPr="008865E4">
        <w:rPr>
          <w:sz w:val="28"/>
          <w:szCs w:val="28"/>
          <w:lang w:val="en-US"/>
        </w:rPr>
        <w:t xml:space="preserve"> </w:t>
      </w:r>
      <w:r w:rsidRPr="008865E4">
        <w:rPr>
          <w:sz w:val="28"/>
          <w:szCs w:val="28"/>
          <w:lang w:val="en-US"/>
        </w:rPr>
        <w:t xml:space="preserve">cao gấp </w:t>
      </w:r>
      <w:r w:rsidR="004E6871" w:rsidRPr="008865E4">
        <w:rPr>
          <w:sz w:val="28"/>
          <w:szCs w:val="28"/>
          <w:lang w:val="en-US"/>
        </w:rPr>
        <w:t>3</w:t>
      </w:r>
      <w:r w:rsidRPr="008865E4">
        <w:rPr>
          <w:sz w:val="28"/>
          <w:szCs w:val="28"/>
          <w:lang w:val="en-US"/>
        </w:rPr>
        <w:t xml:space="preserve"> lần năng suất thế giới. </w:t>
      </w:r>
      <w:r w:rsidR="00085C16" w:rsidRPr="008865E4">
        <w:rPr>
          <w:sz w:val="28"/>
          <w:szCs w:val="28"/>
          <w:lang w:val="en-US"/>
        </w:rPr>
        <w:t xml:space="preserve">Sản lượng xuất khẩu 10 năm gần đây </w:t>
      </w:r>
      <w:r w:rsidRPr="008865E4">
        <w:rPr>
          <w:sz w:val="28"/>
          <w:szCs w:val="28"/>
          <w:lang w:val="en-US"/>
        </w:rPr>
        <w:t>dao động trong khoảng</w:t>
      </w:r>
      <w:r w:rsidR="00085C16" w:rsidRPr="008865E4">
        <w:rPr>
          <w:sz w:val="28"/>
          <w:szCs w:val="28"/>
          <w:lang w:val="en-US"/>
        </w:rPr>
        <w:t xml:space="preserve"> 1,2 - 1,5 triệu tấn, kim ngạch xuất khẩu từ 1,7 tỷ - 3,6 tỷ USD, chiếm 20 - 25% tổng kim ngạch xuất khẩu nông sản hàng năm.</w:t>
      </w:r>
      <w:r w:rsidR="005A5FD0" w:rsidRPr="008865E4">
        <w:rPr>
          <w:sz w:val="28"/>
          <w:szCs w:val="28"/>
          <w:lang w:val="en-US"/>
        </w:rPr>
        <w:t xml:space="preserve"> </w:t>
      </w:r>
      <w:r w:rsidR="00F10916" w:rsidRPr="008865E4">
        <w:rPr>
          <w:sz w:val="28"/>
          <w:szCs w:val="28"/>
          <w:lang w:val="en-US"/>
        </w:rPr>
        <w:t xml:space="preserve">Việt Nam đã xuất khẩu cà phê nhân đến 80 quốc gia trên thế giới chiếm </w:t>
      </w:r>
      <w:r w:rsidR="008E78F0" w:rsidRPr="008865E4">
        <w:rPr>
          <w:sz w:val="28"/>
          <w:szCs w:val="28"/>
          <w:lang w:val="en-US"/>
        </w:rPr>
        <w:t>18</w:t>
      </w:r>
      <w:r w:rsidR="00F10916" w:rsidRPr="008865E4">
        <w:rPr>
          <w:sz w:val="28"/>
          <w:szCs w:val="28"/>
          <w:lang w:val="en-US"/>
        </w:rPr>
        <w:t>% thị phần cà phê nhân xuất khẩu, đứng thứ hai sau Brazil.</w:t>
      </w:r>
      <w:r w:rsidR="00150E6E" w:rsidRPr="008865E4">
        <w:rPr>
          <w:sz w:val="28"/>
          <w:szCs w:val="28"/>
          <w:lang w:val="en-US"/>
        </w:rPr>
        <w:t xml:space="preserve"> Ngành cà phê đã hình thành được vùng chuyên canh sản xuất cà phê hàng hoá, tạo việc làm và thu nhập chính cho trên 560 nghìn hộ nông dân, góp phần phát triển kinh tế xã hội, xóa đói giảm nghèo ở Tây Nguyên, Đông Nam bộ và một số vùng trồng cà phê khác.</w:t>
      </w:r>
    </w:p>
    <w:p w:rsidR="00F10916" w:rsidRPr="008865E4" w:rsidRDefault="005A5FD0" w:rsidP="008865E4">
      <w:pPr>
        <w:ind w:firstLine="567"/>
        <w:jc w:val="both"/>
        <w:rPr>
          <w:sz w:val="28"/>
          <w:szCs w:val="28"/>
          <w:lang w:val="en-US"/>
        </w:rPr>
      </w:pPr>
      <w:r w:rsidRPr="008865E4">
        <w:rPr>
          <w:sz w:val="28"/>
          <w:szCs w:val="28"/>
          <w:lang w:val="en-US"/>
        </w:rPr>
        <w:lastRenderedPageBreak/>
        <w:t xml:space="preserve">Ngành công nghiệp chế biến cà phê nhân xuất khẩu đã được hình thành và đang từng bước phát triển theo hướng chế biến sâu. Theo đó, chế biến cà phê nhân có tổng công suất thiết kế 1,5 triệu tấn/năm; chế biến cà phê bột (cà phê rang xay) có tổng công suất thiết kế 51,7 nghìn tấn/năm; chế biến cà phê hòa tan có tổng công suất thiết kế 36,5 </w:t>
      </w:r>
      <w:r w:rsidR="00F10916" w:rsidRPr="008865E4">
        <w:rPr>
          <w:sz w:val="28"/>
          <w:szCs w:val="28"/>
          <w:lang w:val="en-US"/>
        </w:rPr>
        <w:t xml:space="preserve">nghìn tấn/năm. Hiện có 11 nhà máy quy mô lớn chế biến cà phê hòa tan phối trộn (cà phê “3 trong 1”, “2 trong 1”) với tổng công suất thiết kế 139,85 nghìn tấn/năm với công suất thực tế đạt 81,6%. Kho bảo quản sản phẩm cà phê có tổng công suất thiết kế 2,36 triệu tấn/năm, đảm </w:t>
      </w:r>
      <w:r w:rsidR="00085C16" w:rsidRPr="008865E4">
        <w:rPr>
          <w:sz w:val="28"/>
          <w:szCs w:val="28"/>
          <w:lang w:val="en-US"/>
        </w:rPr>
        <w:t xml:space="preserve">bảo phục vụ chế biến, bảo quản và xuất khẩu cà phê. Tỷ trọng chế biến sâu (cà phê rang xay và hòa tan) giá trị gia tăng cao, có chiều hướng tăng. </w:t>
      </w:r>
    </w:p>
    <w:p w:rsidR="00645AFC" w:rsidRPr="008865E4" w:rsidRDefault="00ED7E76" w:rsidP="008865E4">
      <w:pPr>
        <w:ind w:firstLine="567"/>
        <w:jc w:val="both"/>
        <w:rPr>
          <w:sz w:val="28"/>
          <w:szCs w:val="28"/>
          <w:lang w:val="en-US"/>
        </w:rPr>
      </w:pPr>
      <w:r w:rsidRPr="008865E4">
        <w:rPr>
          <w:sz w:val="28"/>
          <w:szCs w:val="28"/>
          <w:lang w:val="en-US"/>
        </w:rPr>
        <w:t>B</w:t>
      </w:r>
      <w:r w:rsidR="00724386" w:rsidRPr="008865E4">
        <w:rPr>
          <w:sz w:val="28"/>
          <w:szCs w:val="28"/>
          <w:lang w:val="en-US"/>
        </w:rPr>
        <w:t>ên cạnh những thành tựu đạt được,</w:t>
      </w:r>
      <w:r w:rsidR="00645AFC" w:rsidRPr="008865E4">
        <w:rPr>
          <w:sz w:val="28"/>
          <w:szCs w:val="28"/>
          <w:lang w:val="en-US"/>
        </w:rPr>
        <w:t xml:space="preserve"> khu vực</w:t>
      </w:r>
      <w:r w:rsidR="00724386" w:rsidRPr="008865E4">
        <w:rPr>
          <w:sz w:val="28"/>
          <w:szCs w:val="28"/>
          <w:lang w:val="en-US"/>
        </w:rPr>
        <w:t xml:space="preserve"> </w:t>
      </w:r>
      <w:r w:rsidR="00645AFC" w:rsidRPr="008865E4">
        <w:rPr>
          <w:sz w:val="28"/>
          <w:szCs w:val="28"/>
          <w:lang w:val="en-US"/>
        </w:rPr>
        <w:t>NLTS</w:t>
      </w:r>
      <w:r w:rsidRPr="008865E4">
        <w:rPr>
          <w:sz w:val="28"/>
          <w:szCs w:val="28"/>
          <w:lang w:val="en-US"/>
        </w:rPr>
        <w:t xml:space="preserve"> nói chung và ngành cà phê nói riêng</w:t>
      </w:r>
      <w:r w:rsidR="00724386" w:rsidRPr="008865E4">
        <w:rPr>
          <w:sz w:val="28"/>
          <w:szCs w:val="28"/>
          <w:lang w:val="en-US"/>
        </w:rPr>
        <w:t xml:space="preserve"> vẫn còn những hạn chế, tồn tại kìm hãm quá trình phát triển bền vững gắn với tăng giá trị gia tăng</w:t>
      </w:r>
      <w:r w:rsidR="00E3564B" w:rsidRPr="008865E4">
        <w:rPr>
          <w:sz w:val="28"/>
          <w:szCs w:val="28"/>
          <w:lang w:val="en-US"/>
        </w:rPr>
        <w:t>.</w:t>
      </w:r>
      <w:r w:rsidR="00724386" w:rsidRPr="008865E4">
        <w:rPr>
          <w:sz w:val="28"/>
          <w:szCs w:val="28"/>
          <w:lang w:val="en-US"/>
        </w:rPr>
        <w:t xml:space="preserve"> </w:t>
      </w:r>
      <w:r w:rsidR="00E3564B" w:rsidRPr="008865E4">
        <w:rPr>
          <w:sz w:val="28"/>
          <w:szCs w:val="28"/>
          <w:lang w:val="en-US"/>
        </w:rPr>
        <w:t xml:space="preserve">Đối với </w:t>
      </w:r>
      <w:r w:rsidR="00645AFC" w:rsidRPr="008865E4">
        <w:rPr>
          <w:sz w:val="28"/>
          <w:szCs w:val="28"/>
          <w:lang w:val="en-US"/>
        </w:rPr>
        <w:t>khu vực NLTS</w:t>
      </w:r>
      <w:r w:rsidR="00E3564B" w:rsidRPr="008865E4">
        <w:rPr>
          <w:sz w:val="28"/>
          <w:szCs w:val="28"/>
          <w:lang w:val="en-US"/>
        </w:rPr>
        <w:t xml:space="preserve"> nói chung,</w:t>
      </w:r>
      <w:r w:rsidR="00724386" w:rsidRPr="008865E4">
        <w:rPr>
          <w:sz w:val="28"/>
          <w:szCs w:val="28"/>
          <w:lang w:val="en-US"/>
        </w:rPr>
        <w:t xml:space="preserve"> chất lượng và khả năng cạnh tranh của nhiều lọai sản phẩm còn thấp; tăng trưởng của </w:t>
      </w:r>
      <w:r w:rsidR="00645AFC" w:rsidRPr="008865E4">
        <w:rPr>
          <w:sz w:val="28"/>
          <w:szCs w:val="28"/>
          <w:lang w:val="en-US"/>
        </w:rPr>
        <w:t>khu vực</w:t>
      </w:r>
      <w:r w:rsidR="00724386" w:rsidRPr="008865E4">
        <w:rPr>
          <w:sz w:val="28"/>
          <w:szCs w:val="28"/>
          <w:lang w:val="en-US"/>
        </w:rPr>
        <w:t xml:space="preserve"> đang có xu hướng chậm lại; ô nhiễm và nguy cơ gây suy thoái môi trường tăng; và chênh lệch giàu nghèo giữa các nhóm dân cư, giữa thành thị và nông thôn đang ngày càng doãng rộng và vẫn tồn tại các cộng đồng tách biệt.</w:t>
      </w:r>
    </w:p>
    <w:p w:rsidR="00681870" w:rsidRPr="008865E4" w:rsidRDefault="00645AFC" w:rsidP="008865E4">
      <w:pPr>
        <w:ind w:firstLine="567"/>
        <w:jc w:val="both"/>
        <w:rPr>
          <w:sz w:val="28"/>
          <w:szCs w:val="28"/>
          <w:lang w:val="en-US"/>
        </w:rPr>
      </w:pPr>
      <w:r w:rsidRPr="008865E4">
        <w:rPr>
          <w:sz w:val="28"/>
          <w:szCs w:val="28"/>
          <w:lang w:val="en-US"/>
        </w:rPr>
        <w:t>N</w:t>
      </w:r>
      <w:r w:rsidR="002F32C7" w:rsidRPr="008865E4">
        <w:rPr>
          <w:sz w:val="28"/>
          <w:szCs w:val="28"/>
        </w:rPr>
        <w:t xml:space="preserve">gành cà phê </w:t>
      </w:r>
      <w:r w:rsidRPr="008865E4">
        <w:rPr>
          <w:sz w:val="28"/>
          <w:szCs w:val="28"/>
          <w:lang w:val="en-US"/>
        </w:rPr>
        <w:t>cũng</w:t>
      </w:r>
      <w:r w:rsidR="002F32C7" w:rsidRPr="008865E4">
        <w:rPr>
          <w:sz w:val="28"/>
          <w:szCs w:val="28"/>
        </w:rPr>
        <w:t xml:space="preserve"> đang đứng trước nhiều thách thức</w:t>
      </w:r>
      <w:r w:rsidR="00603A59" w:rsidRPr="008865E4">
        <w:rPr>
          <w:sz w:val="28"/>
          <w:szCs w:val="28"/>
          <w:lang w:val="en-US"/>
        </w:rPr>
        <w:t xml:space="preserve"> </w:t>
      </w:r>
      <w:r w:rsidR="002F32C7" w:rsidRPr="008865E4">
        <w:rPr>
          <w:sz w:val="28"/>
          <w:szCs w:val="28"/>
        </w:rPr>
        <w:t>và phát triển chưa tương xứng với tiềm năng vốn có</w:t>
      </w:r>
      <w:r w:rsidR="00441E28" w:rsidRPr="008865E4">
        <w:rPr>
          <w:sz w:val="28"/>
          <w:szCs w:val="28"/>
          <w:lang w:val="en-US"/>
        </w:rPr>
        <w:t>:</w:t>
      </w:r>
      <w:r w:rsidR="002F32C7" w:rsidRPr="008865E4">
        <w:rPr>
          <w:sz w:val="28"/>
          <w:szCs w:val="28"/>
        </w:rPr>
        <w:t xml:space="preserve"> </w:t>
      </w:r>
      <w:r w:rsidR="00441E28" w:rsidRPr="008865E4">
        <w:rPr>
          <w:sz w:val="28"/>
          <w:szCs w:val="28"/>
          <w:lang w:val="en-US"/>
        </w:rPr>
        <w:t>g</w:t>
      </w:r>
      <w:r w:rsidR="00CA5E39" w:rsidRPr="008865E4">
        <w:rPr>
          <w:sz w:val="28"/>
          <w:szCs w:val="28"/>
        </w:rPr>
        <w:t>iá trị gia tăng trong sản phẩm cà phê Việt Nam còn rất thấp, 90% sản phẩm xuất khẩu ở dạng cà phê nhân</w:t>
      </w:r>
      <w:r w:rsidR="00441E28" w:rsidRPr="008865E4">
        <w:rPr>
          <w:sz w:val="28"/>
          <w:szCs w:val="28"/>
          <w:lang w:val="en-US"/>
        </w:rPr>
        <w:t>;</w:t>
      </w:r>
      <w:r w:rsidR="00CA5E39" w:rsidRPr="008865E4">
        <w:rPr>
          <w:sz w:val="28"/>
          <w:szCs w:val="28"/>
        </w:rPr>
        <w:t xml:space="preserve"> </w:t>
      </w:r>
      <w:r w:rsidR="00441E28" w:rsidRPr="008865E4">
        <w:rPr>
          <w:sz w:val="28"/>
          <w:szCs w:val="28"/>
          <w:lang w:val="en-US"/>
        </w:rPr>
        <w:t>q</w:t>
      </w:r>
      <w:r w:rsidR="002F32C7" w:rsidRPr="008865E4">
        <w:rPr>
          <w:sz w:val="28"/>
          <w:szCs w:val="28"/>
        </w:rPr>
        <w:t>uy hoạch và quản lý quy hoạch còn nhiều bất cập</w:t>
      </w:r>
      <w:r w:rsidR="00441E28" w:rsidRPr="008865E4">
        <w:rPr>
          <w:sz w:val="28"/>
          <w:szCs w:val="28"/>
          <w:lang w:val="en-US"/>
        </w:rPr>
        <w:t>;</w:t>
      </w:r>
      <w:r w:rsidR="002F32C7" w:rsidRPr="008865E4">
        <w:rPr>
          <w:sz w:val="28"/>
          <w:szCs w:val="28"/>
        </w:rPr>
        <w:t xml:space="preserve"> </w:t>
      </w:r>
      <w:r w:rsidR="00441E28" w:rsidRPr="008865E4">
        <w:rPr>
          <w:sz w:val="28"/>
          <w:szCs w:val="28"/>
          <w:lang w:val="en-US"/>
        </w:rPr>
        <w:t>d</w:t>
      </w:r>
      <w:r w:rsidR="002F32C7" w:rsidRPr="008865E4">
        <w:rPr>
          <w:sz w:val="28"/>
          <w:szCs w:val="28"/>
        </w:rPr>
        <w:t>iện tích cà phê già cỗi tăng nhanh, cơ cấu giống chưa hợp lý</w:t>
      </w:r>
      <w:r w:rsidR="00441E28" w:rsidRPr="008865E4">
        <w:rPr>
          <w:sz w:val="28"/>
          <w:szCs w:val="28"/>
          <w:lang w:val="en-US"/>
        </w:rPr>
        <w:t>;</w:t>
      </w:r>
      <w:r w:rsidR="002F32C7" w:rsidRPr="008865E4">
        <w:rPr>
          <w:sz w:val="28"/>
          <w:szCs w:val="28"/>
        </w:rPr>
        <w:t xml:space="preserve"> </w:t>
      </w:r>
      <w:r w:rsidR="00441E28" w:rsidRPr="008865E4">
        <w:rPr>
          <w:sz w:val="28"/>
          <w:szCs w:val="28"/>
          <w:lang w:val="en-US"/>
        </w:rPr>
        <w:t>m</w:t>
      </w:r>
      <w:r w:rsidR="002F32C7" w:rsidRPr="008865E4">
        <w:rPr>
          <w:sz w:val="28"/>
          <w:szCs w:val="28"/>
        </w:rPr>
        <w:t>ột số địa phương và người sản xuất vẫn tiếp tục mô hình phát triển theo chiều rộng như tăng nhanh diện tích, lạm dụng phân bón, nước tưới, thuốc bảo vệ thực vật, giảm cây che bóng để tăng năng suất và sản lượng, chưa quan tâm đến nâng cao chất lượng, giá trị gia tăng và phát triển bền vững</w:t>
      </w:r>
      <w:r w:rsidR="00441E28" w:rsidRPr="008865E4">
        <w:rPr>
          <w:sz w:val="28"/>
          <w:szCs w:val="28"/>
          <w:lang w:val="en-US"/>
        </w:rPr>
        <w:t>;</w:t>
      </w:r>
      <w:r w:rsidR="00CA5E39" w:rsidRPr="008865E4">
        <w:rPr>
          <w:sz w:val="28"/>
          <w:szCs w:val="28"/>
        </w:rPr>
        <w:t xml:space="preserve"> </w:t>
      </w:r>
      <w:r w:rsidR="00441E28" w:rsidRPr="008865E4">
        <w:rPr>
          <w:sz w:val="28"/>
          <w:szCs w:val="28"/>
          <w:lang w:val="en-US"/>
        </w:rPr>
        <w:t>h</w:t>
      </w:r>
      <w:r w:rsidR="00CA5E39" w:rsidRPr="008865E4">
        <w:rPr>
          <w:sz w:val="28"/>
          <w:szCs w:val="28"/>
        </w:rPr>
        <w:t xml:space="preserve">ơn </w:t>
      </w:r>
      <w:r w:rsidR="002F32C7" w:rsidRPr="008865E4">
        <w:rPr>
          <w:sz w:val="28"/>
          <w:szCs w:val="28"/>
        </w:rPr>
        <w:t xml:space="preserve">560 </w:t>
      </w:r>
      <w:r w:rsidR="00CA5E39" w:rsidRPr="008865E4">
        <w:rPr>
          <w:sz w:val="28"/>
          <w:szCs w:val="28"/>
        </w:rPr>
        <w:t>nghìn</w:t>
      </w:r>
      <w:r w:rsidR="002F32C7" w:rsidRPr="008865E4">
        <w:rPr>
          <w:sz w:val="28"/>
          <w:szCs w:val="28"/>
        </w:rPr>
        <w:t xml:space="preserve"> hộ sản xuất nhỏ trong ngành cà phê chậm đổi mới tổ chức sản xuất và kinh doanh, thiếu thông tin về thị trường, thiếu liên kết với các nhà máy chế biến xuất khẩu, hiệu quả sản xuất chưa cao</w:t>
      </w:r>
      <w:r w:rsidR="00441E28" w:rsidRPr="008865E4">
        <w:rPr>
          <w:sz w:val="28"/>
          <w:szCs w:val="28"/>
          <w:lang w:val="en-US"/>
        </w:rPr>
        <w:t>;</w:t>
      </w:r>
      <w:r w:rsidR="00CA5E39" w:rsidRPr="008865E4">
        <w:rPr>
          <w:sz w:val="28"/>
          <w:szCs w:val="28"/>
        </w:rPr>
        <w:t xml:space="preserve"> </w:t>
      </w:r>
      <w:r w:rsidR="00441E28" w:rsidRPr="008865E4">
        <w:rPr>
          <w:sz w:val="28"/>
          <w:szCs w:val="28"/>
          <w:lang w:val="en-US"/>
        </w:rPr>
        <w:t>c</w:t>
      </w:r>
      <w:r w:rsidR="002F32C7" w:rsidRPr="008865E4">
        <w:rPr>
          <w:sz w:val="28"/>
          <w:szCs w:val="28"/>
        </w:rPr>
        <w:t xml:space="preserve">ông tác đào tạo nguồn nhân lực </w:t>
      </w:r>
      <w:r w:rsidR="002F32C7" w:rsidRPr="008865E4">
        <w:rPr>
          <w:sz w:val="28"/>
          <w:szCs w:val="28"/>
        </w:rPr>
        <w:lastRenderedPageBreak/>
        <w:t>trong ngành cà phê, đặc biệt là trong lĩnh vực quản lý sản xuất theo mô hình tiên tiến, trình độ ngoại ngữ và kỹ năng ngoại thương chưa được chú trọng đúng mức</w:t>
      </w:r>
      <w:r w:rsidR="00441E28" w:rsidRPr="008865E4">
        <w:rPr>
          <w:sz w:val="28"/>
          <w:szCs w:val="28"/>
          <w:lang w:val="en-US"/>
        </w:rPr>
        <w:t>;</w:t>
      </w:r>
      <w:r w:rsidR="002F32C7" w:rsidRPr="008865E4">
        <w:rPr>
          <w:sz w:val="28"/>
          <w:szCs w:val="28"/>
        </w:rPr>
        <w:t xml:space="preserve"> </w:t>
      </w:r>
      <w:r w:rsidR="00441E28" w:rsidRPr="008865E4">
        <w:rPr>
          <w:sz w:val="28"/>
          <w:szCs w:val="28"/>
          <w:lang w:val="en-US"/>
        </w:rPr>
        <w:t>ứ</w:t>
      </w:r>
      <w:r w:rsidR="002F32C7" w:rsidRPr="008865E4">
        <w:rPr>
          <w:sz w:val="28"/>
          <w:szCs w:val="28"/>
        </w:rPr>
        <w:t>ng dụng và phát triển công nghệ chế biến hiện đại trong ngành cà phê còn rất hạn chế.</w:t>
      </w:r>
    </w:p>
    <w:p w:rsidR="00A96DC2" w:rsidRPr="008865E4" w:rsidRDefault="00F60F42" w:rsidP="008865E4">
      <w:pPr>
        <w:ind w:firstLine="567"/>
        <w:jc w:val="both"/>
        <w:rPr>
          <w:sz w:val="28"/>
          <w:szCs w:val="28"/>
          <w:lang w:val="en-US"/>
        </w:rPr>
      </w:pPr>
      <w:r w:rsidRPr="008865E4">
        <w:rPr>
          <w:sz w:val="28"/>
          <w:szCs w:val="28"/>
          <w:lang w:val="en-US"/>
        </w:rPr>
        <w:t>Thúc đẩy l</w:t>
      </w:r>
      <w:r w:rsidR="005769D7" w:rsidRPr="008865E4">
        <w:rPr>
          <w:sz w:val="28"/>
          <w:szCs w:val="28"/>
          <w:lang w:val="en-US"/>
        </w:rPr>
        <w:t>iên kết chuỗi trong nông nghiệp và sản xuất cà phê là một trong những giải pháp quan trọng</w:t>
      </w:r>
      <w:r w:rsidR="009637BC" w:rsidRPr="008865E4">
        <w:rPr>
          <w:sz w:val="28"/>
          <w:szCs w:val="28"/>
          <w:lang w:val="en-US"/>
        </w:rPr>
        <w:t xml:space="preserve"> của</w:t>
      </w:r>
      <w:r w:rsidR="005769D7" w:rsidRPr="008865E4">
        <w:rPr>
          <w:sz w:val="28"/>
          <w:szCs w:val="28"/>
          <w:lang w:val="en-US"/>
        </w:rPr>
        <w:t xml:space="preserve"> </w:t>
      </w:r>
      <w:r w:rsidR="009637BC" w:rsidRPr="008865E4">
        <w:rPr>
          <w:sz w:val="28"/>
          <w:szCs w:val="28"/>
          <w:lang w:val="en-US"/>
        </w:rPr>
        <w:t>các đề án tái cơ cấu khu vực NLTS</w:t>
      </w:r>
      <w:r w:rsidR="009637BC" w:rsidRPr="008865E4">
        <w:rPr>
          <w:rStyle w:val="FootnoteReference"/>
          <w:sz w:val="28"/>
          <w:szCs w:val="28"/>
          <w:lang w:val="en-US"/>
        </w:rPr>
        <w:footnoteReference w:id="1"/>
      </w:r>
      <w:r w:rsidR="009637BC" w:rsidRPr="008865E4">
        <w:rPr>
          <w:sz w:val="28"/>
          <w:szCs w:val="28"/>
          <w:lang w:val="en-US"/>
        </w:rPr>
        <w:t xml:space="preserve"> và ngành cà phê</w:t>
      </w:r>
      <w:r w:rsidR="009637BC" w:rsidRPr="008865E4">
        <w:rPr>
          <w:rStyle w:val="FootnoteReference"/>
          <w:sz w:val="28"/>
          <w:szCs w:val="28"/>
          <w:lang w:val="en-US"/>
        </w:rPr>
        <w:footnoteReference w:id="2"/>
      </w:r>
      <w:r w:rsidR="009637BC" w:rsidRPr="008865E4">
        <w:rPr>
          <w:sz w:val="28"/>
          <w:szCs w:val="28"/>
          <w:lang w:val="en-US"/>
        </w:rPr>
        <w:t xml:space="preserve"> hướng đến nâng cao giá trị gia tăng và</w:t>
      </w:r>
      <w:r w:rsidR="005769D7" w:rsidRPr="008865E4">
        <w:rPr>
          <w:sz w:val="28"/>
          <w:szCs w:val="28"/>
          <w:lang w:val="en-US"/>
        </w:rPr>
        <w:t xml:space="preserve"> phát triển bền vững</w:t>
      </w:r>
      <w:r w:rsidR="009637BC" w:rsidRPr="008865E4">
        <w:rPr>
          <w:sz w:val="28"/>
          <w:szCs w:val="28"/>
          <w:lang w:val="en-US"/>
        </w:rPr>
        <w:t>.</w:t>
      </w:r>
      <w:r w:rsidR="00054E48" w:rsidRPr="008865E4">
        <w:rPr>
          <w:sz w:val="28"/>
          <w:szCs w:val="28"/>
          <w:lang w:val="en-US"/>
        </w:rPr>
        <w:t xml:space="preserve"> Theo đó,</w:t>
      </w:r>
      <w:r w:rsidR="00BF12B3" w:rsidRPr="008865E4">
        <w:rPr>
          <w:sz w:val="28"/>
          <w:szCs w:val="28"/>
          <w:lang w:val="en-US"/>
        </w:rPr>
        <w:t xml:space="preserve"> </w:t>
      </w:r>
      <w:r w:rsidR="00054E48" w:rsidRPr="008865E4">
        <w:rPr>
          <w:sz w:val="28"/>
          <w:szCs w:val="28"/>
          <w:lang w:val="en-US"/>
        </w:rPr>
        <w:t>l</w:t>
      </w:r>
      <w:r w:rsidR="00BF12B3" w:rsidRPr="008865E4">
        <w:rPr>
          <w:sz w:val="28"/>
          <w:szCs w:val="28"/>
          <w:lang w:val="en-US"/>
        </w:rPr>
        <w:t xml:space="preserve">iên kết chuỗi có thể chia làm hai loại: liên kết dọc (vertical linkages) và liên kết ngang (horizontal linkages). </w:t>
      </w:r>
      <w:r w:rsidRPr="008865E4">
        <w:rPr>
          <w:sz w:val="28"/>
          <w:szCs w:val="28"/>
          <w:lang w:val="en-US"/>
        </w:rPr>
        <w:t>Thúc đẩy l</w:t>
      </w:r>
      <w:r w:rsidR="00BF12B3" w:rsidRPr="008865E4">
        <w:rPr>
          <w:sz w:val="28"/>
          <w:szCs w:val="28"/>
          <w:lang w:val="en-US"/>
        </w:rPr>
        <w:t>iên kết dọc là</w:t>
      </w:r>
      <w:r w:rsidRPr="008865E4">
        <w:rPr>
          <w:sz w:val="28"/>
          <w:szCs w:val="28"/>
          <w:lang w:val="en-US"/>
        </w:rPr>
        <w:t xml:space="preserve"> phát triển</w:t>
      </w:r>
      <w:r w:rsidR="00BF12B3" w:rsidRPr="008865E4">
        <w:rPr>
          <w:sz w:val="28"/>
          <w:szCs w:val="28"/>
          <w:lang w:val="en-US"/>
        </w:rPr>
        <w:t xml:space="preserve"> mối quan hệ giao dịch giữa các mắt xích </w:t>
      </w:r>
      <w:r w:rsidRPr="008865E4">
        <w:rPr>
          <w:sz w:val="28"/>
          <w:szCs w:val="28"/>
          <w:lang w:val="en-US"/>
        </w:rPr>
        <w:t xml:space="preserve">dọc theo chuỗi giá trị, trong đó chú trọng </w:t>
      </w:r>
      <w:r w:rsidR="00E102F3" w:rsidRPr="008865E4">
        <w:rPr>
          <w:sz w:val="28"/>
          <w:szCs w:val="28"/>
          <w:lang w:val="en-US"/>
        </w:rPr>
        <w:t xml:space="preserve">doanh nghiệp liên kết với nông dân để </w:t>
      </w:r>
      <w:r w:rsidRPr="008865E4">
        <w:rPr>
          <w:sz w:val="28"/>
          <w:szCs w:val="28"/>
          <w:lang w:val="en-US"/>
        </w:rPr>
        <w:t>đẩy mạnh</w:t>
      </w:r>
      <w:r w:rsidR="00E102F3" w:rsidRPr="008865E4">
        <w:rPr>
          <w:sz w:val="28"/>
          <w:szCs w:val="28"/>
          <w:lang w:val="en-US"/>
        </w:rPr>
        <w:t xml:space="preserve"> quá trình đổi mới</w:t>
      </w:r>
      <w:r w:rsidR="00D9201D" w:rsidRPr="008865E4">
        <w:rPr>
          <w:sz w:val="28"/>
          <w:szCs w:val="28"/>
          <w:lang w:val="en-US"/>
        </w:rPr>
        <w:t xml:space="preserve"> và nâng cấp</w:t>
      </w:r>
      <w:r w:rsidR="00E102F3" w:rsidRPr="008865E4">
        <w:rPr>
          <w:sz w:val="28"/>
          <w:szCs w:val="28"/>
          <w:lang w:val="en-US"/>
        </w:rPr>
        <w:t xml:space="preserve"> chuỗi.</w:t>
      </w:r>
      <w:r w:rsidR="004B783C" w:rsidRPr="008865E4">
        <w:rPr>
          <w:sz w:val="28"/>
          <w:szCs w:val="28"/>
          <w:lang w:val="en-US"/>
        </w:rPr>
        <w:t xml:space="preserve"> Thúc đẩy liên kết ngang</w:t>
      </w:r>
      <w:r w:rsidR="001B60DF" w:rsidRPr="008865E4">
        <w:rPr>
          <w:sz w:val="28"/>
          <w:szCs w:val="28"/>
          <w:lang w:val="en-US"/>
        </w:rPr>
        <w:t xml:space="preserve"> là</w:t>
      </w:r>
      <w:r w:rsidR="004B783C" w:rsidRPr="008865E4">
        <w:rPr>
          <w:sz w:val="28"/>
          <w:szCs w:val="28"/>
          <w:lang w:val="en-US"/>
        </w:rPr>
        <w:t xml:space="preserve"> phát triển mối quan hệ giao dịch giữa các mắt xích ở cùng một cấp độ trong chuỗi, trong đó chú trọng </w:t>
      </w:r>
      <w:r w:rsidR="00E102F3" w:rsidRPr="008865E4">
        <w:rPr>
          <w:sz w:val="28"/>
          <w:szCs w:val="28"/>
          <w:lang w:val="en-US"/>
        </w:rPr>
        <w:t>nông dân liên kết với nông dân để mở rộng quy mô sản xuất, đặc biệt tập trung ruộng đất.</w:t>
      </w:r>
      <w:r w:rsidR="00457C33" w:rsidRPr="008865E4">
        <w:rPr>
          <w:sz w:val="28"/>
          <w:szCs w:val="28"/>
          <w:lang w:val="en-US"/>
        </w:rPr>
        <w:t xml:space="preserve"> </w:t>
      </w:r>
      <w:r w:rsidR="00E102F3" w:rsidRPr="008865E4">
        <w:rPr>
          <w:sz w:val="28"/>
          <w:szCs w:val="28"/>
          <w:lang w:val="en-US"/>
        </w:rPr>
        <w:t xml:space="preserve">Sự kết hợp của cả hai quá trình này hình thành nên liên kết </w:t>
      </w:r>
      <w:r w:rsidR="00C21AEC" w:rsidRPr="008865E4">
        <w:rPr>
          <w:sz w:val="28"/>
          <w:szCs w:val="28"/>
          <w:lang w:val="en-US"/>
        </w:rPr>
        <w:t>“</w:t>
      </w:r>
      <w:r w:rsidR="00E102F3" w:rsidRPr="008865E4">
        <w:rPr>
          <w:sz w:val="28"/>
          <w:szCs w:val="28"/>
          <w:lang w:val="en-US"/>
        </w:rPr>
        <w:t>4 nhà</w:t>
      </w:r>
      <w:r w:rsidR="00C21AEC" w:rsidRPr="008865E4">
        <w:rPr>
          <w:sz w:val="28"/>
          <w:szCs w:val="28"/>
          <w:lang w:val="en-US"/>
        </w:rPr>
        <w:t>”</w:t>
      </w:r>
      <w:r w:rsidR="00A96DC2" w:rsidRPr="008865E4">
        <w:rPr>
          <w:sz w:val="28"/>
          <w:szCs w:val="28"/>
          <w:lang w:val="en-US"/>
        </w:rPr>
        <w:t>,</w:t>
      </w:r>
      <w:r w:rsidR="00C21AEC" w:rsidRPr="008865E4">
        <w:rPr>
          <w:sz w:val="28"/>
          <w:szCs w:val="28"/>
          <w:lang w:val="en-US"/>
        </w:rPr>
        <w:t xml:space="preserve"> trong đó </w:t>
      </w:r>
      <w:r w:rsidR="00C21AEC" w:rsidRPr="008865E4">
        <w:rPr>
          <w:sz w:val="28"/>
          <w:szCs w:val="28"/>
        </w:rPr>
        <w:t>một doanh nghiệp/hợp tác xã hạt nhân, có vai trò định hướng sản xuất, chế biến, và tiêu thụ toàn bộ sản phẩm.</w:t>
      </w:r>
      <w:r w:rsidR="00E102F3" w:rsidRPr="008865E4">
        <w:rPr>
          <w:sz w:val="28"/>
          <w:szCs w:val="28"/>
          <w:lang w:val="en-US"/>
        </w:rPr>
        <w:t xml:space="preserve"> </w:t>
      </w:r>
    </w:p>
    <w:p w:rsidR="00567010" w:rsidRPr="008865E4" w:rsidRDefault="00A96DC2" w:rsidP="008865E4">
      <w:pPr>
        <w:ind w:firstLine="567"/>
        <w:jc w:val="both"/>
        <w:rPr>
          <w:sz w:val="28"/>
          <w:szCs w:val="28"/>
        </w:rPr>
      </w:pPr>
      <w:r w:rsidRPr="008865E4">
        <w:rPr>
          <w:sz w:val="28"/>
          <w:szCs w:val="28"/>
          <w:lang w:val="en-US"/>
        </w:rPr>
        <w:t xml:space="preserve">Định hướng này cũng phù hợp với kinh nghiệm của các nước Nhật Bản, Đài Loan, Hàn Quốc trong quá trình tập trung ruộng đất và phát triển sản xuất, kinh doanh nông nghiệp. </w:t>
      </w:r>
      <w:r w:rsidRPr="008865E4">
        <w:rPr>
          <w:sz w:val="28"/>
          <w:szCs w:val="28"/>
        </w:rPr>
        <w:t xml:space="preserve">Đất ruộng ở Nhật Bản, Đài Loan, Hàn Quốc trước đây cũng manh mún như Việt Nam. Ở Nhật Bản, Đài Loan, Hàn Quốc quy mô ruộng đất của nông hộ ban đầu chưa vượt quá 10 ha. Trong quá trình công nghiệp hóa, Nhật Bản đến năm 1986 thời kỳ hoàn thành cơ khí hóa nông nghiệp, bình quân ruộng đất của nông hộ cũng chỉ là 1,24 ha. Đài Loan năm 1986 hoàn thành cơ khí hóa nông nghiệp bình quân ruộng đất của nông hộ khoảng 1 ha.  Nhật Bản, Đài Loan, Hàn Quốc đã lựa chọn hình thức tập trung ruộng đất để thực hiện sản xuất lớn trên cơ sở “liền vùng, cùng trà, khác chủ” gắn với một cơ sở (xí nghiệp) chế biến </w:t>
      </w:r>
      <w:r w:rsidRPr="008865E4">
        <w:rPr>
          <w:sz w:val="28"/>
          <w:szCs w:val="28"/>
        </w:rPr>
        <w:lastRenderedPageBreak/>
        <w:t>hiện đại (sơ hoặc tinh chế) và tiêu thụ sản phẩm, hay một hợp tác xã dịch vụ-chế biến-tiêu thụ sản phẩm, hình thành tổ hợp nông-công-thương. Từ đó, ở mức cao hơn, các hộ có thể dùng ruộng đất để góp cổ phần trong tổ hợp sản xuất, kinh doanh nông nghiệp. Kinh nghiệm của các nước này cho thấy nên bắt đầu với dồn điền, đổi thửa, rồi hình thành tổ, nhóm, hợp tác xã, tiến lên liên kết 4 nhà.</w:t>
      </w:r>
    </w:p>
    <w:p w:rsidR="00A81F29" w:rsidRPr="001A7DC9" w:rsidRDefault="00567010" w:rsidP="008865E4">
      <w:pPr>
        <w:ind w:firstLine="567"/>
        <w:jc w:val="both"/>
      </w:pPr>
      <w:r w:rsidRPr="008865E4">
        <w:rPr>
          <w:sz w:val="28"/>
          <w:szCs w:val="28"/>
        </w:rPr>
        <w:t>Trên thực tiễn, nông nghiệp Việt Nam cũng đã có nhiều mô hình liên kết</w:t>
      </w:r>
      <w:r w:rsidR="008D164A" w:rsidRPr="008865E4">
        <w:rPr>
          <w:sz w:val="28"/>
          <w:szCs w:val="28"/>
        </w:rPr>
        <w:t xml:space="preserve"> trong</w:t>
      </w:r>
      <w:r w:rsidRPr="008865E4">
        <w:rPr>
          <w:sz w:val="28"/>
          <w:szCs w:val="28"/>
        </w:rPr>
        <w:t xml:space="preserve"> </w:t>
      </w:r>
      <w:r w:rsidR="00A81F29" w:rsidRPr="008865E4">
        <w:rPr>
          <w:sz w:val="28"/>
          <w:szCs w:val="28"/>
        </w:rPr>
        <w:t>lúa gạo</w:t>
      </w:r>
      <w:r w:rsidR="007E70AC" w:rsidRPr="008865E4">
        <w:rPr>
          <w:rStyle w:val="FootnoteReference"/>
          <w:sz w:val="28"/>
          <w:szCs w:val="28"/>
          <w:lang w:val="en-US"/>
        </w:rPr>
        <w:footnoteReference w:id="3"/>
      </w:r>
      <w:r w:rsidR="00A81F29" w:rsidRPr="008865E4">
        <w:rPr>
          <w:sz w:val="28"/>
          <w:szCs w:val="28"/>
        </w:rPr>
        <w:t>, sữa và sản phẩm sữa</w:t>
      </w:r>
      <w:r w:rsidR="007E70AC" w:rsidRPr="008865E4">
        <w:rPr>
          <w:rStyle w:val="FootnoteReference"/>
          <w:sz w:val="28"/>
          <w:szCs w:val="28"/>
          <w:lang w:val="en-US"/>
        </w:rPr>
        <w:footnoteReference w:id="4"/>
      </w:r>
      <w:r w:rsidR="00A81F29" w:rsidRPr="008865E4">
        <w:rPr>
          <w:sz w:val="28"/>
          <w:szCs w:val="28"/>
        </w:rPr>
        <w:t>, thủy sản</w:t>
      </w:r>
      <w:r w:rsidR="007E70AC" w:rsidRPr="008865E4">
        <w:rPr>
          <w:rStyle w:val="FootnoteReference"/>
          <w:sz w:val="28"/>
          <w:szCs w:val="28"/>
          <w:lang w:val="en-US"/>
        </w:rPr>
        <w:footnoteReference w:id="5"/>
      </w:r>
      <w:r w:rsidR="008D164A" w:rsidRPr="008865E4">
        <w:rPr>
          <w:sz w:val="28"/>
          <w:szCs w:val="28"/>
        </w:rPr>
        <w:t xml:space="preserve">. </w:t>
      </w:r>
      <w:r w:rsidR="00E36FB0" w:rsidRPr="008865E4">
        <w:rPr>
          <w:sz w:val="28"/>
          <w:szCs w:val="28"/>
        </w:rPr>
        <w:t xml:space="preserve">Các mô hình có mức độ thành </w:t>
      </w:r>
      <w:r w:rsidR="00E36FB0" w:rsidRPr="008865E4">
        <w:rPr>
          <w:sz w:val="28"/>
          <w:szCs w:val="28"/>
        </w:rPr>
        <w:lastRenderedPageBreak/>
        <w:t>công và cách</w:t>
      </w:r>
      <w:r w:rsidR="00E36FB0" w:rsidRPr="00E36FB0">
        <w:t xml:space="preserve"> thức tổ chức khác nhau,</w:t>
      </w:r>
      <w:r w:rsidR="00C47DFE" w:rsidRPr="008D164A">
        <w:t xml:space="preserve"> trong đó tiêu biểu nhất là m</w:t>
      </w:r>
      <w:r w:rsidR="00E102F3" w:rsidRPr="008D164A">
        <w:t xml:space="preserve">ô hình </w:t>
      </w:r>
      <w:r w:rsidR="00C47DFE" w:rsidRPr="008D164A">
        <w:t>“</w:t>
      </w:r>
      <w:r w:rsidR="00E102F3" w:rsidRPr="008D164A">
        <w:t>cánh đồng mẫu lớn</w:t>
      </w:r>
      <w:r w:rsidR="00C47DFE" w:rsidRPr="008D164A">
        <w:t>”</w:t>
      </w:r>
      <w:r w:rsidR="00E102F3" w:rsidRPr="008D164A">
        <w:t xml:space="preserve"> trong sản xuất lúa gạo</w:t>
      </w:r>
      <w:r w:rsidR="00D33667" w:rsidRPr="008D164A">
        <w:t xml:space="preserve"> ở ĐBSCL</w:t>
      </w:r>
      <w:r w:rsidR="00E102F3" w:rsidRPr="008D164A">
        <w:t xml:space="preserve"> của Tập đoàn Lộc Trời, tiền thân là CTCP Bảo vệ Thực vật An Giang</w:t>
      </w:r>
      <w:r w:rsidR="00C47DFE" w:rsidRPr="008D164A">
        <w:t xml:space="preserve">. </w:t>
      </w:r>
      <w:r w:rsidR="00385DDD" w:rsidRPr="001A7DC9">
        <w:t>Đây là mô hình gây được tiếng vang và đã tạo thành một phong trào xây dựng cánh đồng lớn</w:t>
      </w:r>
      <w:r w:rsidR="00FB1260" w:rsidRPr="001A7DC9">
        <w:t>. Chính phủ cũng đã ban hành Quyết định số 62/2013/QĐ-TTg ngày 25/10/2013 của Thủ tướng Chính phủ về chính sách khuyến khích liên kết gắn sản xuất với tiêu thụ nông sản, xây dựng cánh đồng lớn</w:t>
      </w:r>
      <w:r w:rsidR="0099087B" w:rsidRPr="001A7DC9">
        <w:t xml:space="preserve"> (Quyết định 62)</w:t>
      </w:r>
      <w:r w:rsidR="00FB1260" w:rsidRPr="001A7DC9">
        <w:t>.</w:t>
      </w:r>
      <w:r w:rsidR="00031118" w:rsidRPr="001A7DC9">
        <w:t xml:space="preserve"> </w:t>
      </w:r>
      <w:r w:rsidR="00DF0CB0" w:rsidRPr="001A7DC9">
        <w:t xml:space="preserve">Theo đánh giá của Cục kinh tế Hợp tác và Phát triển Nông thôn, </w:t>
      </w:r>
      <w:r w:rsidR="003778E3" w:rsidRPr="001A7DC9">
        <w:t>c</w:t>
      </w:r>
      <w:r w:rsidR="00DF0CB0" w:rsidRPr="001A7DC9">
        <w:t>ác mô hình cánh đồng lớn</w:t>
      </w:r>
      <w:r w:rsidR="003778E3" w:rsidRPr="001A7DC9">
        <w:t xml:space="preserve"> đã</w:t>
      </w:r>
      <w:r w:rsidR="00DF0CB0" w:rsidRPr="001A7DC9">
        <w:t xml:space="preserve"> tăng lên, cả về số lượng và diện tích xây dựng mô hình</w:t>
      </w:r>
      <w:r w:rsidR="00525D5C" w:rsidRPr="001A7DC9">
        <w:t xml:space="preserve"> đối với sản xuất lúa trên cả nước</w:t>
      </w:r>
      <w:r w:rsidR="00DF0CB0" w:rsidRPr="001A7DC9">
        <w:t>. Hết tháng 6/2015, cả nước đã có trên 430.000 ha diện tích canh tác cánh đồng lớn, trong đó gần một nửa ở khu vực Đồng bằng sông Cửu Long. Các mô hình cánh đồng lớn cho hiệu quả rõ rệt</w:t>
      </w:r>
      <w:r w:rsidR="003778E3">
        <w:rPr>
          <w:rStyle w:val="FootnoteReference"/>
          <w:lang w:val="en-US"/>
        </w:rPr>
        <w:footnoteReference w:id="6"/>
      </w:r>
      <w:r w:rsidR="00DF0CB0" w:rsidRPr="001A7DC9">
        <w:t xml:space="preserve">. Một số tỉnh đã xây dựng mô hình cánh đồng lớn trên rau, cây ăn quả và cây công nghiệp. </w:t>
      </w:r>
      <w:r w:rsidR="00FB1260" w:rsidRPr="001A7DC9">
        <w:t xml:space="preserve"> </w:t>
      </w:r>
      <w:r w:rsidR="00A35EF7" w:rsidRPr="001A7DC9">
        <w:t xml:space="preserve"> </w:t>
      </w:r>
      <w:r w:rsidR="00000B80" w:rsidRPr="001A7DC9">
        <w:t xml:space="preserve"> </w:t>
      </w:r>
    </w:p>
    <w:p w:rsidR="008D56AD" w:rsidRPr="001A7DC9" w:rsidRDefault="00DF5009" w:rsidP="008865E4">
      <w:pPr>
        <w:ind w:firstLine="567"/>
        <w:jc w:val="both"/>
      </w:pPr>
      <w:r w:rsidRPr="001A7DC9">
        <w:t xml:space="preserve">   </w:t>
      </w:r>
      <w:r w:rsidR="0087016C" w:rsidRPr="001A7DC9">
        <w:t>Đối với sản xuất và tiêu thụ cà phê ở Tây Nguyên</w:t>
      </w:r>
      <w:r w:rsidR="001E4470" w:rsidRPr="001A7DC9">
        <w:t xml:space="preserve">, các mô hình liên kết giữa hộ nông dân với doanh nghiệp đã hình thành và phát triển, có tác động tích cực đối với sự phát triển bền vững của ngành cà phê. Một tổng hợp về quy mô liên kết hộ nông dân và doanh nghiệp trong sản xuất và tiêu thụ cà phê ở các tỉnh Tây Nguyên thực hiện bởi </w:t>
      </w:r>
      <w:r w:rsidR="001E4470" w:rsidRPr="001A7DC9">
        <w:lastRenderedPageBreak/>
        <w:t xml:space="preserve">Nga &amp; Niêm (2016) cho thấy </w:t>
      </w:r>
      <w:r w:rsidR="00FF610A" w:rsidRPr="001A7DC9">
        <w:t>các mô hình liên kết chiếm khoảng 20% số hộ trồng cà phê, 32% diện tích, và 42% sản lượng cà phê cả nước</w:t>
      </w:r>
      <w:r w:rsidR="00B262D9" w:rsidRPr="001A7DC9">
        <w:t xml:space="preserve"> (Bảng 1)</w:t>
      </w:r>
      <w:r w:rsidR="00FF610A" w:rsidRPr="001A7DC9">
        <w:t>.</w:t>
      </w:r>
      <w:r w:rsidR="00EC5DC6" w:rsidRPr="001A7DC9">
        <w:t xml:space="preserve"> </w:t>
      </w:r>
      <w:r w:rsidR="009C1927" w:rsidRPr="001A7DC9">
        <w:t>Các mô hình liên kết giữa doanh nghiệp và hộ nông dân sản xuất cà phê ở Tây Nguyên có thể chia làm ba loại</w:t>
      </w:r>
      <w:r w:rsidR="007203FF" w:rsidRPr="001A7DC9">
        <w:t xml:space="preserve"> </w:t>
      </w:r>
      <w:r w:rsidR="009C1927" w:rsidRPr="001A7DC9">
        <w:t>tập trung trực tiếp, hạt nhân trung tâm, và trung gian. Ở mô hình hạt nhân trực tiếp, doanh nghiệp trực tiếp ký hợp đồng với từng hộ nông dân mà không qua bất kỳ trung gian nào. Ở mô hình hạt nhân trung tâm, doanh nghệp – người nắm quyền sở hữu đất đai, vườn cây – ký hợp đồng với các hộ nông dân dưới hình thức giao nhận khoán chăm sóc vườn cà phê và bao tiêu toàn bộ sản phẩm của nông dân. Ở mô hình trung gian, doanh nghiệp ký hợp đồng mua sản phẩm của nông dân thông qua các đầu mối trung gian như hợp tác xã, đại lý, hay một doanh nghiệp trung gian khác, trong đó thông qua hợp tác xã là điển hình nhất.</w:t>
      </w:r>
      <w:r w:rsidR="008D56AD" w:rsidRPr="001A7DC9">
        <w:t xml:space="preserve"> Các mô hình liên kết giúp nâng cao hiệu quả kinh tế sản xuất cà phê ở các nông hộ (tăng năng suất, tăng giá bán, tiết kiệm chi phí sản xuất) và cải thiện lợi thế cạnh tranh của doanh nghiệp (vùng nguyên liệu ổn định và nguồn cà phê xuất khẩu chất lượng cao).</w:t>
      </w:r>
      <w:r w:rsidR="002C56CF" w:rsidRPr="001A7DC9">
        <w:t xml:space="preserve"> </w:t>
      </w:r>
    </w:p>
    <w:p w:rsidR="00B262D9" w:rsidRPr="001A7DC9" w:rsidRDefault="00B262D9" w:rsidP="008865E4">
      <w:pPr>
        <w:pStyle w:val="Caption"/>
        <w:ind w:firstLine="567"/>
        <w:jc w:val="center"/>
      </w:pPr>
      <w:r>
        <w:t xml:space="preserve">Bảng </w:t>
      </w:r>
      <w:r w:rsidR="008865E4">
        <w:fldChar w:fldCharType="begin"/>
      </w:r>
      <w:r w:rsidR="008865E4">
        <w:instrText xml:space="preserve"> SEQ B</w:instrText>
      </w:r>
      <w:r w:rsidR="008865E4">
        <w:instrText>ả</w:instrText>
      </w:r>
      <w:r w:rsidR="008865E4">
        <w:instrText xml:space="preserve">ng \* ARABIC </w:instrText>
      </w:r>
      <w:r w:rsidR="008865E4">
        <w:fldChar w:fldCharType="separate"/>
      </w:r>
      <w:r>
        <w:rPr>
          <w:noProof/>
        </w:rPr>
        <w:t>1</w:t>
      </w:r>
      <w:r w:rsidR="008865E4">
        <w:rPr>
          <w:noProof/>
        </w:rPr>
        <w:fldChar w:fldCharType="end"/>
      </w:r>
      <w:r w:rsidRPr="001A7DC9">
        <w:t xml:space="preserve"> Quy mô liên kết hộ nông dân và doanh nghiệp trong sản xuất và tiêu thụ cà phê ở Tây Nguyên</w:t>
      </w:r>
    </w:p>
    <w:tbl>
      <w:tblPr>
        <w:tblStyle w:val="TableGrid"/>
        <w:tblW w:w="0" w:type="auto"/>
        <w:tblLook w:val="04A0" w:firstRow="1" w:lastRow="0" w:firstColumn="1" w:lastColumn="0" w:noHBand="0" w:noVBand="1"/>
      </w:tblPr>
      <w:tblGrid>
        <w:gridCol w:w="2310"/>
        <w:gridCol w:w="2310"/>
        <w:gridCol w:w="2311"/>
        <w:gridCol w:w="2311"/>
      </w:tblGrid>
      <w:tr w:rsidR="001E4470" w:rsidTr="001E4470">
        <w:tc>
          <w:tcPr>
            <w:tcW w:w="2310" w:type="dxa"/>
          </w:tcPr>
          <w:p w:rsidR="001E4470" w:rsidRDefault="001E4470" w:rsidP="008865E4">
            <w:pPr>
              <w:ind w:firstLine="567"/>
              <w:jc w:val="both"/>
              <w:rPr>
                <w:lang w:val="en-US"/>
              </w:rPr>
            </w:pPr>
            <w:r>
              <w:rPr>
                <w:lang w:val="en-US"/>
              </w:rPr>
              <w:t>Tỉnh</w:t>
            </w:r>
          </w:p>
        </w:tc>
        <w:tc>
          <w:tcPr>
            <w:tcW w:w="2310" w:type="dxa"/>
          </w:tcPr>
          <w:p w:rsidR="001E4470" w:rsidRDefault="001E4470" w:rsidP="008865E4">
            <w:pPr>
              <w:ind w:firstLine="567"/>
              <w:jc w:val="right"/>
              <w:rPr>
                <w:lang w:val="en-US"/>
              </w:rPr>
            </w:pPr>
            <w:r>
              <w:rPr>
                <w:lang w:val="en-US"/>
              </w:rPr>
              <w:t>Số hộ liên kết (hộ)</w:t>
            </w:r>
          </w:p>
        </w:tc>
        <w:tc>
          <w:tcPr>
            <w:tcW w:w="2311" w:type="dxa"/>
          </w:tcPr>
          <w:p w:rsidR="001E4470" w:rsidRDefault="001E4470" w:rsidP="008865E4">
            <w:pPr>
              <w:ind w:firstLine="567"/>
              <w:jc w:val="right"/>
              <w:rPr>
                <w:lang w:val="en-US"/>
              </w:rPr>
            </w:pPr>
            <w:r>
              <w:rPr>
                <w:lang w:val="en-US"/>
              </w:rPr>
              <w:t>Diện tích (ha)</w:t>
            </w:r>
          </w:p>
        </w:tc>
        <w:tc>
          <w:tcPr>
            <w:tcW w:w="2311" w:type="dxa"/>
          </w:tcPr>
          <w:p w:rsidR="001E4470" w:rsidRDefault="001E4470" w:rsidP="008865E4">
            <w:pPr>
              <w:ind w:firstLine="567"/>
              <w:jc w:val="right"/>
              <w:rPr>
                <w:lang w:val="en-US"/>
              </w:rPr>
            </w:pPr>
            <w:r>
              <w:rPr>
                <w:lang w:val="en-US"/>
              </w:rPr>
              <w:t>Sản lượng (tấn)</w:t>
            </w:r>
          </w:p>
        </w:tc>
      </w:tr>
      <w:tr w:rsidR="001E4470" w:rsidTr="001E4470">
        <w:tc>
          <w:tcPr>
            <w:tcW w:w="2310" w:type="dxa"/>
          </w:tcPr>
          <w:p w:rsidR="001E4470" w:rsidRDefault="001E4470" w:rsidP="008865E4">
            <w:pPr>
              <w:ind w:firstLine="567"/>
              <w:jc w:val="both"/>
              <w:rPr>
                <w:lang w:val="en-US"/>
              </w:rPr>
            </w:pPr>
            <w:r>
              <w:rPr>
                <w:lang w:val="en-US"/>
              </w:rPr>
              <w:t>Đắk Lắk</w:t>
            </w:r>
          </w:p>
        </w:tc>
        <w:tc>
          <w:tcPr>
            <w:tcW w:w="2310" w:type="dxa"/>
            <w:vAlign w:val="center"/>
          </w:tcPr>
          <w:p w:rsidR="001E4470" w:rsidRDefault="001E4470" w:rsidP="008865E4">
            <w:pPr>
              <w:ind w:firstLine="567"/>
              <w:jc w:val="right"/>
              <w:rPr>
                <w:lang w:val="en-US"/>
              </w:rPr>
            </w:pPr>
            <w:r>
              <w:rPr>
                <w:lang w:val="en-US"/>
              </w:rPr>
              <w:t>59.051</w:t>
            </w:r>
          </w:p>
        </w:tc>
        <w:tc>
          <w:tcPr>
            <w:tcW w:w="2311" w:type="dxa"/>
            <w:vAlign w:val="center"/>
          </w:tcPr>
          <w:p w:rsidR="001E4470" w:rsidRDefault="001E4470" w:rsidP="008865E4">
            <w:pPr>
              <w:ind w:firstLine="567"/>
              <w:jc w:val="right"/>
              <w:rPr>
                <w:lang w:val="en-US"/>
              </w:rPr>
            </w:pPr>
            <w:r>
              <w:rPr>
                <w:lang w:val="en-US"/>
              </w:rPr>
              <w:t>86.780</w:t>
            </w:r>
          </w:p>
        </w:tc>
        <w:tc>
          <w:tcPr>
            <w:tcW w:w="2311" w:type="dxa"/>
            <w:vAlign w:val="center"/>
          </w:tcPr>
          <w:p w:rsidR="001E4470" w:rsidRDefault="001E4470" w:rsidP="008865E4">
            <w:pPr>
              <w:ind w:firstLine="567"/>
              <w:jc w:val="right"/>
              <w:rPr>
                <w:lang w:val="en-US"/>
              </w:rPr>
            </w:pPr>
            <w:r>
              <w:rPr>
                <w:lang w:val="en-US"/>
              </w:rPr>
              <w:t>277.337</w:t>
            </w:r>
          </w:p>
        </w:tc>
      </w:tr>
      <w:tr w:rsidR="001E4470" w:rsidTr="001E4470">
        <w:tc>
          <w:tcPr>
            <w:tcW w:w="2310" w:type="dxa"/>
          </w:tcPr>
          <w:p w:rsidR="001E4470" w:rsidRDefault="001E4470" w:rsidP="008865E4">
            <w:pPr>
              <w:ind w:firstLine="567"/>
              <w:jc w:val="both"/>
              <w:rPr>
                <w:lang w:val="en-US"/>
              </w:rPr>
            </w:pPr>
            <w:r>
              <w:rPr>
                <w:lang w:val="en-US"/>
              </w:rPr>
              <w:t>Đắk Nông</w:t>
            </w:r>
          </w:p>
        </w:tc>
        <w:tc>
          <w:tcPr>
            <w:tcW w:w="2310" w:type="dxa"/>
            <w:vAlign w:val="center"/>
          </w:tcPr>
          <w:p w:rsidR="001E4470" w:rsidRDefault="001E4470" w:rsidP="008865E4">
            <w:pPr>
              <w:ind w:firstLine="567"/>
              <w:jc w:val="right"/>
              <w:rPr>
                <w:lang w:val="en-US"/>
              </w:rPr>
            </w:pPr>
            <w:r>
              <w:rPr>
                <w:lang w:val="en-US"/>
              </w:rPr>
              <w:t>14.865</w:t>
            </w:r>
          </w:p>
        </w:tc>
        <w:tc>
          <w:tcPr>
            <w:tcW w:w="2311" w:type="dxa"/>
            <w:vAlign w:val="center"/>
          </w:tcPr>
          <w:p w:rsidR="001E4470" w:rsidRDefault="001E4470" w:rsidP="008865E4">
            <w:pPr>
              <w:ind w:firstLine="567"/>
              <w:jc w:val="right"/>
              <w:rPr>
                <w:lang w:val="en-US"/>
              </w:rPr>
            </w:pPr>
            <w:r>
              <w:rPr>
                <w:lang w:val="en-US"/>
              </w:rPr>
              <w:t>29.071</w:t>
            </w:r>
          </w:p>
        </w:tc>
        <w:tc>
          <w:tcPr>
            <w:tcW w:w="2311" w:type="dxa"/>
            <w:vAlign w:val="center"/>
          </w:tcPr>
          <w:p w:rsidR="001E4470" w:rsidRDefault="001E4470" w:rsidP="008865E4">
            <w:pPr>
              <w:ind w:firstLine="567"/>
              <w:jc w:val="right"/>
              <w:rPr>
                <w:lang w:val="en-US"/>
              </w:rPr>
            </w:pPr>
            <w:r>
              <w:rPr>
                <w:lang w:val="en-US"/>
              </w:rPr>
              <w:t>93.355</w:t>
            </w:r>
          </w:p>
        </w:tc>
      </w:tr>
      <w:tr w:rsidR="001E4470" w:rsidTr="001E4470">
        <w:tc>
          <w:tcPr>
            <w:tcW w:w="2310" w:type="dxa"/>
          </w:tcPr>
          <w:p w:rsidR="001E4470" w:rsidRDefault="001E4470" w:rsidP="008865E4">
            <w:pPr>
              <w:ind w:firstLine="567"/>
              <w:jc w:val="both"/>
              <w:rPr>
                <w:lang w:val="en-US"/>
              </w:rPr>
            </w:pPr>
            <w:r>
              <w:rPr>
                <w:lang w:val="en-US"/>
              </w:rPr>
              <w:t>Gia Lai</w:t>
            </w:r>
          </w:p>
        </w:tc>
        <w:tc>
          <w:tcPr>
            <w:tcW w:w="2310" w:type="dxa"/>
            <w:vAlign w:val="center"/>
          </w:tcPr>
          <w:p w:rsidR="001E4470" w:rsidRDefault="001E4470" w:rsidP="008865E4">
            <w:pPr>
              <w:ind w:firstLine="567"/>
              <w:jc w:val="right"/>
              <w:rPr>
                <w:lang w:val="en-US"/>
              </w:rPr>
            </w:pPr>
            <w:r>
              <w:rPr>
                <w:lang w:val="en-US"/>
              </w:rPr>
              <w:t>15.975</w:t>
            </w:r>
          </w:p>
        </w:tc>
        <w:tc>
          <w:tcPr>
            <w:tcW w:w="2311" w:type="dxa"/>
            <w:vAlign w:val="center"/>
          </w:tcPr>
          <w:p w:rsidR="001E4470" w:rsidRDefault="001E4470" w:rsidP="008865E4">
            <w:pPr>
              <w:ind w:firstLine="567"/>
              <w:jc w:val="right"/>
              <w:rPr>
                <w:lang w:val="en-US"/>
              </w:rPr>
            </w:pPr>
            <w:r>
              <w:rPr>
                <w:lang w:val="en-US"/>
              </w:rPr>
              <w:t>22.260</w:t>
            </w:r>
          </w:p>
        </w:tc>
        <w:tc>
          <w:tcPr>
            <w:tcW w:w="2311" w:type="dxa"/>
            <w:vAlign w:val="center"/>
          </w:tcPr>
          <w:p w:rsidR="001E4470" w:rsidRDefault="001E4470" w:rsidP="008865E4">
            <w:pPr>
              <w:ind w:firstLine="567"/>
              <w:jc w:val="right"/>
              <w:rPr>
                <w:lang w:val="en-US"/>
              </w:rPr>
            </w:pPr>
            <w:r>
              <w:rPr>
                <w:lang w:val="en-US"/>
              </w:rPr>
              <w:t>69.294</w:t>
            </w:r>
          </w:p>
        </w:tc>
      </w:tr>
      <w:tr w:rsidR="001E4470" w:rsidTr="001E4470">
        <w:tc>
          <w:tcPr>
            <w:tcW w:w="2310" w:type="dxa"/>
          </w:tcPr>
          <w:p w:rsidR="001E4470" w:rsidRDefault="001E4470" w:rsidP="008865E4">
            <w:pPr>
              <w:ind w:firstLine="567"/>
              <w:jc w:val="both"/>
              <w:rPr>
                <w:lang w:val="en-US"/>
              </w:rPr>
            </w:pPr>
            <w:r>
              <w:rPr>
                <w:lang w:val="en-US"/>
              </w:rPr>
              <w:t>Kon Tum</w:t>
            </w:r>
          </w:p>
        </w:tc>
        <w:tc>
          <w:tcPr>
            <w:tcW w:w="2310" w:type="dxa"/>
            <w:vAlign w:val="center"/>
          </w:tcPr>
          <w:p w:rsidR="001E4470" w:rsidRDefault="001E4470" w:rsidP="008865E4">
            <w:pPr>
              <w:ind w:firstLine="567"/>
              <w:jc w:val="right"/>
              <w:rPr>
                <w:lang w:val="en-US"/>
              </w:rPr>
            </w:pPr>
            <w:r>
              <w:rPr>
                <w:lang w:val="en-US"/>
              </w:rPr>
              <w:t>2.203</w:t>
            </w:r>
          </w:p>
        </w:tc>
        <w:tc>
          <w:tcPr>
            <w:tcW w:w="2311" w:type="dxa"/>
            <w:vAlign w:val="center"/>
          </w:tcPr>
          <w:p w:rsidR="001E4470" w:rsidRDefault="001E4470" w:rsidP="008865E4">
            <w:pPr>
              <w:ind w:firstLine="567"/>
              <w:jc w:val="right"/>
              <w:rPr>
                <w:lang w:val="en-US"/>
              </w:rPr>
            </w:pPr>
            <w:r>
              <w:rPr>
                <w:lang w:val="en-US"/>
              </w:rPr>
              <w:t>2.722</w:t>
            </w:r>
          </w:p>
        </w:tc>
        <w:tc>
          <w:tcPr>
            <w:tcW w:w="2311" w:type="dxa"/>
            <w:vAlign w:val="center"/>
          </w:tcPr>
          <w:p w:rsidR="001E4470" w:rsidRDefault="001E4470" w:rsidP="008865E4">
            <w:pPr>
              <w:ind w:firstLine="567"/>
              <w:jc w:val="right"/>
              <w:rPr>
                <w:lang w:val="en-US"/>
              </w:rPr>
            </w:pPr>
            <w:r>
              <w:rPr>
                <w:lang w:val="en-US"/>
              </w:rPr>
              <w:t>8.150</w:t>
            </w:r>
          </w:p>
        </w:tc>
      </w:tr>
      <w:tr w:rsidR="001E4470" w:rsidTr="001E4470">
        <w:tc>
          <w:tcPr>
            <w:tcW w:w="2310" w:type="dxa"/>
          </w:tcPr>
          <w:p w:rsidR="001E4470" w:rsidRDefault="001E4470" w:rsidP="008865E4">
            <w:pPr>
              <w:ind w:firstLine="567"/>
              <w:jc w:val="both"/>
              <w:rPr>
                <w:lang w:val="en-US"/>
              </w:rPr>
            </w:pPr>
            <w:r>
              <w:rPr>
                <w:lang w:val="en-US"/>
              </w:rPr>
              <w:t>Lâm Đồng</w:t>
            </w:r>
          </w:p>
        </w:tc>
        <w:tc>
          <w:tcPr>
            <w:tcW w:w="2310" w:type="dxa"/>
            <w:vAlign w:val="center"/>
          </w:tcPr>
          <w:p w:rsidR="001E4470" w:rsidRDefault="001E4470" w:rsidP="008865E4">
            <w:pPr>
              <w:ind w:firstLine="567"/>
              <w:jc w:val="right"/>
              <w:rPr>
                <w:lang w:val="en-US"/>
              </w:rPr>
            </w:pPr>
            <w:r>
              <w:rPr>
                <w:lang w:val="en-US"/>
              </w:rPr>
              <w:t>15.807</w:t>
            </w:r>
          </w:p>
        </w:tc>
        <w:tc>
          <w:tcPr>
            <w:tcW w:w="2311" w:type="dxa"/>
            <w:vAlign w:val="center"/>
          </w:tcPr>
          <w:p w:rsidR="001E4470" w:rsidRDefault="001E4470" w:rsidP="008865E4">
            <w:pPr>
              <w:ind w:firstLine="567"/>
              <w:jc w:val="right"/>
              <w:rPr>
                <w:lang w:val="en-US"/>
              </w:rPr>
            </w:pPr>
            <w:r>
              <w:rPr>
                <w:lang w:val="en-US"/>
              </w:rPr>
              <w:t>33.153</w:t>
            </w:r>
          </w:p>
        </w:tc>
        <w:tc>
          <w:tcPr>
            <w:tcW w:w="2311" w:type="dxa"/>
            <w:vAlign w:val="center"/>
          </w:tcPr>
          <w:p w:rsidR="001E4470" w:rsidRDefault="001E4470" w:rsidP="008865E4">
            <w:pPr>
              <w:ind w:firstLine="567"/>
              <w:jc w:val="right"/>
              <w:rPr>
                <w:lang w:val="en-US"/>
              </w:rPr>
            </w:pPr>
            <w:r>
              <w:rPr>
                <w:lang w:val="en-US"/>
              </w:rPr>
              <w:t>109.702</w:t>
            </w:r>
          </w:p>
        </w:tc>
      </w:tr>
      <w:tr w:rsidR="001E4470" w:rsidTr="001E4470">
        <w:tc>
          <w:tcPr>
            <w:tcW w:w="2310" w:type="dxa"/>
          </w:tcPr>
          <w:p w:rsidR="001E4470" w:rsidRDefault="00915343" w:rsidP="008865E4">
            <w:pPr>
              <w:ind w:firstLine="567"/>
              <w:jc w:val="both"/>
              <w:rPr>
                <w:lang w:val="en-US"/>
              </w:rPr>
            </w:pPr>
            <w:r>
              <w:rPr>
                <w:lang w:val="en-US"/>
              </w:rPr>
              <w:t>Tổng số</w:t>
            </w:r>
          </w:p>
        </w:tc>
        <w:tc>
          <w:tcPr>
            <w:tcW w:w="2310" w:type="dxa"/>
            <w:vAlign w:val="center"/>
          </w:tcPr>
          <w:p w:rsidR="001E4470" w:rsidRDefault="00915343" w:rsidP="008865E4">
            <w:pPr>
              <w:ind w:firstLine="567"/>
              <w:jc w:val="right"/>
              <w:rPr>
                <w:lang w:val="en-US"/>
              </w:rPr>
            </w:pPr>
            <w:r>
              <w:rPr>
                <w:lang w:val="en-US"/>
              </w:rPr>
              <w:t>107.901</w:t>
            </w:r>
          </w:p>
        </w:tc>
        <w:tc>
          <w:tcPr>
            <w:tcW w:w="2311" w:type="dxa"/>
            <w:vAlign w:val="center"/>
          </w:tcPr>
          <w:p w:rsidR="001E4470" w:rsidRDefault="00915343" w:rsidP="008865E4">
            <w:pPr>
              <w:ind w:firstLine="567"/>
              <w:jc w:val="right"/>
              <w:rPr>
                <w:lang w:val="en-US"/>
              </w:rPr>
            </w:pPr>
            <w:r>
              <w:rPr>
                <w:lang w:val="en-US"/>
              </w:rPr>
              <w:t>173.986</w:t>
            </w:r>
          </w:p>
        </w:tc>
        <w:tc>
          <w:tcPr>
            <w:tcW w:w="2311" w:type="dxa"/>
            <w:vAlign w:val="center"/>
          </w:tcPr>
          <w:p w:rsidR="001E4470" w:rsidRDefault="00915343" w:rsidP="008865E4">
            <w:pPr>
              <w:ind w:firstLine="567"/>
              <w:jc w:val="right"/>
              <w:rPr>
                <w:lang w:val="en-US"/>
              </w:rPr>
            </w:pPr>
            <w:r>
              <w:rPr>
                <w:lang w:val="en-US"/>
              </w:rPr>
              <w:t>557.838</w:t>
            </w:r>
          </w:p>
        </w:tc>
      </w:tr>
      <w:tr w:rsidR="00915343" w:rsidTr="001E4470">
        <w:tc>
          <w:tcPr>
            <w:tcW w:w="2310" w:type="dxa"/>
          </w:tcPr>
          <w:p w:rsidR="00915343" w:rsidRPr="005411A1" w:rsidRDefault="00915343" w:rsidP="008865E4">
            <w:pPr>
              <w:ind w:firstLine="567"/>
              <w:jc w:val="both"/>
              <w:rPr>
                <w:lang w:val="en-US"/>
              </w:rPr>
            </w:pPr>
            <w:r>
              <w:rPr>
                <w:lang w:val="en-US"/>
              </w:rPr>
              <w:t xml:space="preserve">Tỷ lệ </w:t>
            </w:r>
            <w:r w:rsidR="005411A1">
              <w:rPr>
                <w:lang w:val="en-US"/>
              </w:rPr>
              <w:t>(</w:t>
            </w:r>
            <w:r w:rsidR="005411A1">
              <w:rPr>
                <w:vertAlign w:val="superscript"/>
                <w:lang w:val="en-US"/>
              </w:rPr>
              <w:t>*</w:t>
            </w:r>
            <w:r w:rsidR="005411A1">
              <w:rPr>
                <w:lang w:val="en-US"/>
              </w:rPr>
              <w:t>)</w:t>
            </w:r>
          </w:p>
        </w:tc>
        <w:tc>
          <w:tcPr>
            <w:tcW w:w="2310" w:type="dxa"/>
            <w:vAlign w:val="center"/>
          </w:tcPr>
          <w:p w:rsidR="00915343" w:rsidRDefault="00D91B29" w:rsidP="008865E4">
            <w:pPr>
              <w:ind w:firstLine="567"/>
              <w:jc w:val="right"/>
              <w:rPr>
                <w:lang w:val="en-US"/>
              </w:rPr>
            </w:pPr>
            <w:r>
              <w:rPr>
                <w:lang w:val="en-US"/>
              </w:rPr>
              <w:t>~20%</w:t>
            </w:r>
          </w:p>
        </w:tc>
        <w:tc>
          <w:tcPr>
            <w:tcW w:w="2311" w:type="dxa"/>
            <w:vAlign w:val="center"/>
          </w:tcPr>
          <w:p w:rsidR="00915343" w:rsidRDefault="00D91B29" w:rsidP="008865E4">
            <w:pPr>
              <w:ind w:firstLine="567"/>
              <w:jc w:val="right"/>
              <w:rPr>
                <w:lang w:val="en-US"/>
              </w:rPr>
            </w:pPr>
            <w:r>
              <w:rPr>
                <w:lang w:val="en-US"/>
              </w:rPr>
              <w:t>~32%</w:t>
            </w:r>
          </w:p>
        </w:tc>
        <w:tc>
          <w:tcPr>
            <w:tcW w:w="2311" w:type="dxa"/>
            <w:vAlign w:val="center"/>
          </w:tcPr>
          <w:p w:rsidR="00915343" w:rsidRDefault="00D91B29" w:rsidP="008865E4">
            <w:pPr>
              <w:ind w:firstLine="567"/>
              <w:jc w:val="right"/>
              <w:rPr>
                <w:lang w:val="en-US"/>
              </w:rPr>
            </w:pPr>
            <w:r>
              <w:rPr>
                <w:lang w:val="en-US"/>
              </w:rPr>
              <w:t>~</w:t>
            </w:r>
            <w:r w:rsidR="00567C31">
              <w:rPr>
                <w:lang w:val="en-US"/>
              </w:rPr>
              <w:t>42%</w:t>
            </w:r>
          </w:p>
        </w:tc>
      </w:tr>
    </w:tbl>
    <w:p w:rsidR="00CC1089" w:rsidRPr="001A7DC9" w:rsidRDefault="002B7DDB" w:rsidP="008865E4">
      <w:pPr>
        <w:ind w:firstLine="567"/>
        <w:jc w:val="both"/>
      </w:pPr>
      <w:r w:rsidRPr="001A7DC9">
        <w:t>Nguồn: Nga và Niêm (2016) tổng hợp từ số liệu của các Sở NN&amp;PTNT các tỉnh.</w:t>
      </w:r>
      <w:r w:rsidR="001E4470" w:rsidRPr="001A7DC9">
        <w:t xml:space="preserve"> </w:t>
      </w:r>
      <w:r w:rsidR="005411A1" w:rsidRPr="001A7DC9">
        <w:t>(*) Tỷ lệ số hộ, diện tích, sản lượng liên kết trong tổng số hộ, diện tích, sản lượng cả nư</w:t>
      </w:r>
      <w:bookmarkStart w:id="0" w:name="_GoBack"/>
      <w:bookmarkEnd w:id="0"/>
      <w:r w:rsidR="005411A1" w:rsidRPr="001A7DC9">
        <w:t>ớc.</w:t>
      </w:r>
      <w:r w:rsidR="0087016C" w:rsidRPr="001A7DC9">
        <w:t xml:space="preserve"> </w:t>
      </w:r>
    </w:p>
    <w:p w:rsidR="002F32C7" w:rsidRPr="001A7DC9" w:rsidRDefault="002D5E65" w:rsidP="008865E4">
      <w:pPr>
        <w:ind w:firstLine="567"/>
        <w:jc w:val="both"/>
      </w:pPr>
      <w:r w:rsidRPr="001A7DC9">
        <w:t xml:space="preserve">Liên kết chuỗi trong khu vực NLTS và sản xuất cà phê đang hình thành và có đóng góp tích cực cho phát triển bền vững. </w:t>
      </w:r>
      <w:r w:rsidR="00A81F29" w:rsidRPr="001A7DC9">
        <w:t xml:space="preserve">Tuy nhiên, </w:t>
      </w:r>
      <w:r w:rsidR="00DF6024" w:rsidRPr="001A7DC9">
        <w:t>l</w:t>
      </w:r>
      <w:r w:rsidR="00A81F29" w:rsidRPr="001A7DC9">
        <w:t xml:space="preserve">iên kết chuỗi </w:t>
      </w:r>
      <w:r w:rsidRPr="001A7DC9">
        <w:t xml:space="preserve">vẫn còn nhiều vấn </w:t>
      </w:r>
      <w:r w:rsidRPr="001A7DC9">
        <w:lastRenderedPageBreak/>
        <w:t>đề</w:t>
      </w:r>
      <w:r w:rsidR="0030759B" w:rsidRPr="001A7DC9">
        <w:t xml:space="preserve">. </w:t>
      </w:r>
      <w:r w:rsidR="00DF6024" w:rsidRPr="001A7DC9">
        <w:t>Một cách tổng thể cho khu vực NLTS, Cục kinh tế Hợp tác và Phát triển Nông thôn đánh giá các mô hình liên kết tập trung</w:t>
      </w:r>
      <w:r w:rsidR="006A2C01" w:rsidRPr="001A7DC9">
        <w:t xml:space="preserve"> </w:t>
      </w:r>
      <w:r w:rsidR="00DF6024" w:rsidRPr="001A7DC9">
        <w:t>đối với lúa, chưa đa dạng ở các vùng miền, lĩnh vực sản xuất khác nhau, hợp đồng liên kết vẫn còn mang tính hình thức, chỉ khoảng 30% các mô hình liên kết thực sự có hoạt động đầu tư, chuyển giao khoa học kỹ thuật gắn với tiêu thụ nông sản.</w:t>
      </w:r>
      <w:r w:rsidR="00E579B5" w:rsidRPr="001A7DC9">
        <w:t xml:space="preserve"> </w:t>
      </w:r>
      <w:r w:rsidR="003D5E9B" w:rsidRPr="003D5E9B">
        <w:t>Đối với liên kết trong sản xuất</w:t>
      </w:r>
      <w:r w:rsidR="003D5E9B" w:rsidRPr="001A7DC9">
        <w:t xml:space="preserve"> cà phê, quy mô sản xuất nhỏ lẻ, manh mún cản trở việc hình thành và phát triển các mô hình liên kết; mức độ liên kết giữa doanh nghiệp và nông dân còn lỏng lẻo và chưa xác định hài hòa lợi ích giữa các bên; chưa có cơ chế, chính sách đầy đủ, đồng bộ để thực hiện các liên kết bằng chứng là tình trạng vi phạm hợp đồng và vỡ cam kết vẫn thường xuyên xảy ra. </w:t>
      </w:r>
    </w:p>
    <w:p w:rsidR="00FF2E43" w:rsidRDefault="00FF2E43" w:rsidP="008865E4">
      <w:pPr>
        <w:ind w:firstLine="567"/>
        <w:jc w:val="both"/>
      </w:pPr>
      <w:r>
        <w:t xml:space="preserve">Mức độ </w:t>
      </w:r>
      <w:r w:rsidR="00F472D9" w:rsidRPr="001A7DC9">
        <w:t>bền vững</w:t>
      </w:r>
      <w:r>
        <w:t xml:space="preserve"> của các liên kết, hay nói cách khác các liên kết lâu dài,</w:t>
      </w:r>
      <w:r w:rsidR="00F472D9" w:rsidRPr="001A7DC9">
        <w:t xml:space="preserve"> bền chặt</w:t>
      </w:r>
      <w:r>
        <w:t xml:space="preserve"> không phụ thuộc vào hình thức của liên kết</w:t>
      </w:r>
      <w:r w:rsidR="00F472D9" w:rsidRPr="001A7DC9">
        <w:t xml:space="preserve"> (phi chính thức, hợp đồng miệng, hợp đồng văn bản)</w:t>
      </w:r>
      <w:r>
        <w:t>, mà phụ thuộc vào:</w:t>
      </w:r>
    </w:p>
    <w:p w:rsidR="00FF2E43" w:rsidRDefault="00FF2E43" w:rsidP="008865E4">
      <w:pPr>
        <w:ind w:firstLine="567"/>
        <w:jc w:val="both"/>
      </w:pPr>
      <w:r>
        <w:t>(i) cơ chế thưởng, phạt hiệu quả để đảm bảo các mắt xích trong chuỗi tuân thủ theo đúng các luật lệ, quy định, tiêu chuẩn đã được thiết lập, và</w:t>
      </w:r>
    </w:p>
    <w:p w:rsidR="00FF2E43" w:rsidRDefault="00FF2E43" w:rsidP="008865E4">
      <w:pPr>
        <w:ind w:firstLine="567"/>
        <w:jc w:val="both"/>
      </w:pPr>
      <w:r>
        <w:t>(ii) mức độ tin tưởng lẫn nhau giữa các mắt xích trong chuỗi, nhất là với mắt xích lãnh đạo, dẫn dắt chuỗi.</w:t>
      </w:r>
    </w:p>
    <w:p w:rsidR="00FF2E43" w:rsidRPr="004A3D85" w:rsidRDefault="006E4AEA" w:rsidP="008865E4">
      <w:pPr>
        <w:ind w:firstLine="567"/>
        <w:jc w:val="both"/>
      </w:pPr>
      <w:r w:rsidRPr="006E4AEA">
        <w:t xml:space="preserve">Ở Việt Nam, cơ chế thực thi luật pháp trong việc xử phạt vi phạm hợp đồng hoặc vỡ cam kết giữa doanh nghiệp và nông dân </w:t>
      </w:r>
      <w:r w:rsidR="00E04F8F" w:rsidRPr="00E04F8F">
        <w:t>rất</w:t>
      </w:r>
      <w:r w:rsidRPr="006E4AEA">
        <w:t xml:space="preserve"> yếu. Trong điều kiện như vậy</w:t>
      </w:r>
      <w:r w:rsidR="00E16615" w:rsidRPr="00E16615">
        <w:t xml:space="preserve"> thì</w:t>
      </w:r>
      <w:r w:rsidRPr="006E4AEA">
        <w:t xml:space="preserve"> gây dựng niềm tin giữa doanh nghiệp và nông dân sẽ có vai trò quyết định để duy trì liên kết bền vững. Niềm tin ở đây</w:t>
      </w:r>
      <w:r w:rsidR="00FF2E43">
        <w:t xml:space="preserve"> phải hiểu là niềm tin về những lợi ích dài hạn mà mối quan hệ mang lại lớn hơn những lợi ích ngắn hạn để các bên có thể vượt qua cám dỗ của hành vi cơ hội trong ngắn hạn.</w:t>
      </w:r>
      <w:r w:rsidR="00FF2E43" w:rsidRPr="00FF2E43">
        <w:t xml:space="preserve"> </w:t>
      </w:r>
      <w:r w:rsidR="00CB0571" w:rsidRPr="00CB0571">
        <w:t>Mỗi doanh nghiệp phải tìm ra bí quyết riêng để gây dựng niềm tin vớ</w:t>
      </w:r>
      <w:r w:rsidR="00CB0571">
        <w:t>i nông dân</w:t>
      </w:r>
      <w:r w:rsidR="00CB0571" w:rsidRPr="00CB0571">
        <w:t xml:space="preserve"> mà trường hợp của Tập đoàn Lộc Trời với mô hình cánh đồng mẫu lớn là một ví dụ rất điển hình</w:t>
      </w:r>
      <w:r w:rsidR="00CB0571">
        <w:t>.</w:t>
      </w:r>
      <w:r w:rsidR="003841DE">
        <w:t xml:space="preserve"> </w:t>
      </w:r>
      <w:r w:rsidR="003841DE" w:rsidRPr="003841DE">
        <w:t>Lộc Trời đưa ra nhiều chính sách và hỗ trợ rất được lòng người nông dân: điều khoản hợp đồng rõ ràng, lực lượng khuyến nông 3 cùng, miễn phí lưu kho, miễn phí vận chuyể</w:t>
      </w:r>
      <w:r w:rsidR="003841DE">
        <w:t>n thóc</w:t>
      </w:r>
      <w:r w:rsidR="003841DE" w:rsidRPr="003841DE">
        <w:t xml:space="preserve">, </w:t>
      </w:r>
      <w:r w:rsidR="004A3D85" w:rsidRPr="004A3D85">
        <w:t>có chính sách</w:t>
      </w:r>
      <w:r w:rsidR="003841DE" w:rsidRPr="003841DE">
        <w:t xml:space="preserve"> cho phép</w:t>
      </w:r>
      <w:r w:rsidR="004A3D85" w:rsidRPr="004A3D85">
        <w:t xml:space="preserve"> nông dân</w:t>
      </w:r>
      <w:r w:rsidR="003841DE" w:rsidRPr="003841DE">
        <w:t xml:space="preserve"> bán </w:t>
      </w:r>
      <w:r w:rsidR="004A3D85" w:rsidRPr="004A3D85">
        <w:t>lúa</w:t>
      </w:r>
      <w:r w:rsidR="003841DE" w:rsidRPr="003841DE">
        <w:t xml:space="preserve"> ra ngoài </w:t>
      </w:r>
      <w:r w:rsidR="004A3D85">
        <w:t>nhưng minh bạch các phí liên quan, phát hành cổ phiếu ưu đãi cho nông dân</w:t>
      </w:r>
      <w:r w:rsidR="004A3D85" w:rsidRPr="004A3D85">
        <w:t>, v.v.</w:t>
      </w:r>
    </w:p>
    <w:p w:rsidR="002F32C7" w:rsidRPr="00727D3A" w:rsidRDefault="00F8166F" w:rsidP="008865E4">
      <w:pPr>
        <w:ind w:firstLine="567"/>
        <w:jc w:val="both"/>
      </w:pPr>
      <w:r w:rsidRPr="00D46C6E">
        <w:t>Các doanh nghiệp dẫn dắt, lãnh đạo chuỗi</w:t>
      </w:r>
      <w:r w:rsidR="001A7DC9" w:rsidRPr="001A7DC9">
        <w:t xml:space="preserve"> cũng</w:t>
      </w:r>
      <w:r w:rsidRPr="00D46C6E">
        <w:t xml:space="preserve"> phải có trách nhiệm hơn để hỗ trợ các mắt xích đi theo, nhất là nông dân</w:t>
      </w:r>
      <w:r w:rsidR="00AC2B9A" w:rsidRPr="00AC2B9A">
        <w:t xml:space="preserve"> để</w:t>
      </w:r>
      <w:r w:rsidRPr="00D46C6E">
        <w:t xml:space="preserve"> </w:t>
      </w:r>
      <w:r w:rsidR="00AC2B9A" w:rsidRPr="00AC2B9A">
        <w:t xml:space="preserve">đổi mới và </w:t>
      </w:r>
      <w:r w:rsidRPr="00D46C6E">
        <w:t>nâng cấp</w:t>
      </w:r>
      <w:r w:rsidR="00AC2B9A" w:rsidRPr="00AC2B9A">
        <w:t xml:space="preserve"> chuỗi</w:t>
      </w:r>
      <w:r w:rsidRPr="00D46C6E">
        <w:t xml:space="preserve"> vì (i) </w:t>
      </w:r>
      <w:r w:rsidR="00AC2B9A" w:rsidRPr="00AC2B9A">
        <w:t xml:space="preserve">các doanh </w:t>
      </w:r>
      <w:r w:rsidR="00AC2B9A" w:rsidRPr="00AC2B9A">
        <w:lastRenderedPageBreak/>
        <w:t>nghiệp phải tập trung vào năng lực cốt lõi của mình</w:t>
      </w:r>
      <w:r w:rsidRPr="00D46C6E">
        <w:t>; (ii)</w:t>
      </w:r>
      <w:r w:rsidR="005F564A" w:rsidRPr="00D46C6E">
        <w:t xml:space="preserve"> </w:t>
      </w:r>
      <w:r w:rsidR="00AC2B9A" w:rsidRPr="00AC2B9A">
        <w:t>các doanh nghiệp không thể đổi mới và nâng cấp thành công nếu người nông dân - đối tượng cung cấp nguyên liệu chính và đóng góp</w:t>
      </w:r>
      <w:r w:rsidR="001C6748" w:rsidRPr="001C6748">
        <w:t xml:space="preserve"> một</w:t>
      </w:r>
      <w:r w:rsidR="00AC2B9A" w:rsidRPr="00AC2B9A">
        <w:t xml:space="preserve"> phần lớn </w:t>
      </w:r>
      <w:r w:rsidR="001C6748" w:rsidRPr="001C6748">
        <w:t>vào giá vốn hàng bán</w:t>
      </w:r>
      <w:r w:rsidR="00AC2B9A" w:rsidRPr="00AC2B9A">
        <w:t xml:space="preserve"> của doanh nghiệ</w:t>
      </w:r>
      <w:r w:rsidR="00AC2B9A">
        <w:t>p</w:t>
      </w:r>
      <w:r w:rsidR="00AC2B9A" w:rsidRPr="00AC2B9A">
        <w:t xml:space="preserve"> </w:t>
      </w:r>
      <w:r w:rsidR="00AC2B9A">
        <w:t>–</w:t>
      </w:r>
      <w:r w:rsidR="00AC2B9A" w:rsidRPr="00AC2B9A">
        <w:t xml:space="preserve"> không có đủ năng lực để đổi mới và nâng cấp</w:t>
      </w:r>
      <w:r w:rsidRPr="00D46C6E">
        <w:t>.</w:t>
      </w:r>
      <w:r w:rsidR="00CB02EB" w:rsidRPr="00CB02EB">
        <w:t xml:space="preserve"> </w:t>
      </w:r>
      <w:r w:rsidR="00DF4766" w:rsidRPr="00D46C6E">
        <w:t>Doanh nghiệp phải hỗ trợ nông dân</w:t>
      </w:r>
      <w:r w:rsidR="00CB02EB" w:rsidRPr="00CB02EB">
        <w:t xml:space="preserve"> về kỹ thuật, vật tư đầu vào để</w:t>
      </w:r>
      <w:r w:rsidR="00DF4766" w:rsidRPr="00D46C6E">
        <w:t xml:space="preserve"> phát triển cà phê bền vững.</w:t>
      </w:r>
      <w:r w:rsidR="001C6748" w:rsidRPr="001C6748">
        <w:t xml:space="preserve"> Nhà nước có thể hỗ trợ </w:t>
      </w:r>
      <w:r w:rsidR="00727D3A" w:rsidRPr="00727D3A">
        <w:t>liên kết doanh nghiệp</w:t>
      </w:r>
      <w:r w:rsidR="00727D3A" w:rsidRPr="001A7DC9">
        <w:t>-</w:t>
      </w:r>
      <w:r w:rsidR="00727D3A" w:rsidRPr="00727D3A">
        <w:t>nông dân</w:t>
      </w:r>
      <w:r w:rsidR="001C6748" w:rsidRPr="001C6748">
        <w:t xml:space="preserve"> thông qua các dự án PPP trong đó nhà nước đóng góp nguồn lực bằng hoạt động khuyến nông.</w:t>
      </w:r>
    </w:p>
    <w:p w:rsidR="00F447E7" w:rsidRPr="004E6871" w:rsidRDefault="00F447E7" w:rsidP="008865E4">
      <w:pPr>
        <w:ind w:firstLine="567"/>
        <w:jc w:val="both"/>
      </w:pPr>
    </w:p>
    <w:p w:rsidR="004F3AD1" w:rsidRPr="008865E4" w:rsidRDefault="004F3AD1" w:rsidP="008865E4">
      <w:pPr>
        <w:ind w:firstLine="567"/>
        <w:jc w:val="both"/>
        <w:rPr>
          <w:b/>
          <w:i/>
          <w:lang w:val="en-US"/>
        </w:rPr>
      </w:pPr>
      <w:r w:rsidRPr="008865E4">
        <w:rPr>
          <w:b/>
          <w:i/>
          <w:lang w:val="en-US"/>
        </w:rPr>
        <w:t>Tài liệu tham khảo</w:t>
      </w:r>
    </w:p>
    <w:p w:rsidR="004F3AD1" w:rsidRDefault="009131F2" w:rsidP="008865E4">
      <w:pPr>
        <w:pStyle w:val="ListParagraph"/>
        <w:numPr>
          <w:ilvl w:val="0"/>
          <w:numId w:val="1"/>
        </w:numPr>
        <w:tabs>
          <w:tab w:val="left" w:pos="851"/>
          <w:tab w:val="left" w:pos="993"/>
        </w:tabs>
        <w:ind w:left="0" w:firstLine="426"/>
        <w:jc w:val="both"/>
        <w:rPr>
          <w:lang w:val="en-US"/>
        </w:rPr>
      </w:pPr>
      <w:r w:rsidRPr="009131F2">
        <w:rPr>
          <w:lang w:val="en-US"/>
        </w:rPr>
        <w:t xml:space="preserve">Bộ Nông nghiệp và Phát triển Nông thôn 2012, </w:t>
      </w:r>
      <w:r w:rsidRPr="009131F2">
        <w:rPr>
          <w:i/>
          <w:lang w:val="en-US"/>
        </w:rPr>
        <w:t>Đề án tái cơ cấu ngành nông nghiệp theo hướng nâng cao giá trị gia tăng và phát triển bền vững</w:t>
      </w:r>
      <w:r w:rsidRPr="009131F2">
        <w:rPr>
          <w:lang w:val="en-US"/>
        </w:rPr>
        <w:t>, đính kèm Quyết định 899/QĐ-TTg ngày 10 tháng 6 năm 2013 về Phê duyệt Đề án tái cơ cấu ngành nông nghiệp theo hướng nâng cao giá trị gia tăng và phát triển bền vững.</w:t>
      </w:r>
    </w:p>
    <w:p w:rsidR="009131F2" w:rsidRDefault="009131F2" w:rsidP="008865E4">
      <w:pPr>
        <w:pStyle w:val="ListParagraph"/>
        <w:numPr>
          <w:ilvl w:val="0"/>
          <w:numId w:val="1"/>
        </w:numPr>
        <w:tabs>
          <w:tab w:val="left" w:pos="851"/>
          <w:tab w:val="left" w:pos="993"/>
        </w:tabs>
        <w:ind w:left="0" w:firstLine="426"/>
        <w:jc w:val="both"/>
        <w:rPr>
          <w:lang w:val="en-US"/>
        </w:rPr>
      </w:pPr>
      <w:r>
        <w:rPr>
          <w:lang w:val="en-US"/>
        </w:rPr>
        <w:t xml:space="preserve">Hiệp hội Cà phê Ca cao Việt Nam 2016, </w:t>
      </w:r>
      <w:r w:rsidRPr="009131F2">
        <w:rPr>
          <w:i/>
          <w:lang w:val="en-US"/>
        </w:rPr>
        <w:t>Đề án nâng cao năng lực cạnh tranh cà phê Việt Nam theo hướng nâng cao giá trị gia tăng và phát triển bền vững</w:t>
      </w:r>
      <w:r>
        <w:rPr>
          <w:lang w:val="en-US"/>
        </w:rPr>
        <w:t>, đính kèm Quyết đị</w:t>
      </w:r>
      <w:r w:rsidR="008865E4">
        <w:rPr>
          <w:lang w:val="en-US"/>
        </w:rPr>
        <w:t xml:space="preserve">nh      /QĐ-HHCPCC ngày ? </w:t>
      </w:r>
      <w:r>
        <w:rPr>
          <w:lang w:val="en-US"/>
        </w:rPr>
        <w:t xml:space="preserve"> tháng 10 năm 2016 về Phê duyệt Đề án nâng cao năng lực cạnh tranh cà phê Việt Nam theo hướng nâng cao giá trị gia tăng và phát triển bền vững.</w:t>
      </w:r>
    </w:p>
    <w:p w:rsidR="009131F2" w:rsidRDefault="00F920DD" w:rsidP="008865E4">
      <w:pPr>
        <w:pStyle w:val="ListParagraph"/>
        <w:numPr>
          <w:ilvl w:val="0"/>
          <w:numId w:val="1"/>
        </w:numPr>
        <w:tabs>
          <w:tab w:val="left" w:pos="851"/>
          <w:tab w:val="left" w:pos="993"/>
        </w:tabs>
        <w:ind w:left="0" w:firstLine="426"/>
        <w:jc w:val="both"/>
        <w:rPr>
          <w:lang w:val="en-US"/>
        </w:rPr>
      </w:pPr>
      <w:r>
        <w:rPr>
          <w:lang w:val="en-US"/>
        </w:rPr>
        <w:t xml:space="preserve">Cục Kinh tế Hợp tác và Phát triển Nông thôn 2016, </w:t>
      </w:r>
      <w:r>
        <w:rPr>
          <w:i/>
          <w:lang w:val="en-US"/>
        </w:rPr>
        <w:t>Báo cáo tham luận về xây dựng mô hình liên kết gắn sản xuất với tiêu thụ nông sản</w:t>
      </w:r>
      <w:r>
        <w:rPr>
          <w:lang w:val="en-US"/>
        </w:rPr>
        <w:t>.</w:t>
      </w:r>
    </w:p>
    <w:p w:rsidR="008865E4" w:rsidRPr="008865E4" w:rsidRDefault="00F920DD" w:rsidP="008865E4">
      <w:pPr>
        <w:pStyle w:val="ListParagraph"/>
        <w:numPr>
          <w:ilvl w:val="0"/>
          <w:numId w:val="1"/>
        </w:numPr>
        <w:ind w:left="0" w:firstLine="426"/>
        <w:jc w:val="both"/>
        <w:rPr>
          <w:lang w:val="en-US"/>
        </w:rPr>
      </w:pPr>
      <w:r>
        <w:rPr>
          <w:lang w:val="en-US"/>
        </w:rPr>
        <w:t xml:space="preserve">Nga, ĐT &amp; Niêm, LĐ 2016, Liên kết hộ nông dân và doanh nghiệp trong sản xuất và tiêu thụ cà phê ở Tây Nguyên, </w:t>
      </w:r>
      <w:r>
        <w:rPr>
          <w:i/>
          <w:lang w:val="en-US"/>
        </w:rPr>
        <w:t>Tạp chí khoa học nông nghiệp Việt Nam 2016</w:t>
      </w:r>
      <w:r>
        <w:rPr>
          <w:lang w:val="en-US"/>
        </w:rPr>
        <w:t xml:space="preserve">, vol. 14, no. 11, p. 1835-1845. </w:t>
      </w:r>
    </w:p>
    <w:sectPr w:rsidR="008865E4" w:rsidRPr="008865E4" w:rsidSect="008865E4">
      <w:footerReference w:type="default" r:id="rId9"/>
      <w:pgSz w:w="11906" w:h="16838"/>
      <w:pgMar w:top="1440" w:right="1274"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BDC" w:rsidRDefault="006C7BDC" w:rsidP="007F26AC">
      <w:pPr>
        <w:spacing w:after="0" w:line="240" w:lineRule="auto"/>
      </w:pPr>
      <w:r>
        <w:separator/>
      </w:r>
    </w:p>
  </w:endnote>
  <w:endnote w:type="continuationSeparator" w:id="0">
    <w:p w:rsidR="006C7BDC" w:rsidRDefault="006C7BDC" w:rsidP="007F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843111"/>
      <w:docPartObj>
        <w:docPartGallery w:val="Page Numbers (Bottom of Page)"/>
        <w:docPartUnique/>
      </w:docPartObj>
    </w:sdtPr>
    <w:sdtEndPr>
      <w:rPr>
        <w:noProof/>
      </w:rPr>
    </w:sdtEndPr>
    <w:sdtContent>
      <w:p w:rsidR="001645BB" w:rsidRDefault="001645BB">
        <w:pPr>
          <w:pStyle w:val="Footer"/>
          <w:jc w:val="center"/>
        </w:pPr>
        <w:r>
          <w:fldChar w:fldCharType="begin"/>
        </w:r>
        <w:r>
          <w:instrText xml:space="preserve"> PAGE   \* MERGEFORMAT </w:instrText>
        </w:r>
        <w:r>
          <w:fldChar w:fldCharType="separate"/>
        </w:r>
        <w:r w:rsidR="008865E4">
          <w:rPr>
            <w:noProof/>
          </w:rPr>
          <w:t>5</w:t>
        </w:r>
        <w:r>
          <w:rPr>
            <w:noProof/>
          </w:rPr>
          <w:fldChar w:fldCharType="end"/>
        </w:r>
      </w:p>
    </w:sdtContent>
  </w:sdt>
  <w:p w:rsidR="001645BB" w:rsidRDefault="00164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BDC" w:rsidRDefault="006C7BDC" w:rsidP="007F26AC">
      <w:pPr>
        <w:spacing w:after="0" w:line="240" w:lineRule="auto"/>
      </w:pPr>
      <w:r>
        <w:separator/>
      </w:r>
    </w:p>
  </w:footnote>
  <w:footnote w:type="continuationSeparator" w:id="0">
    <w:p w:rsidR="006C7BDC" w:rsidRDefault="006C7BDC" w:rsidP="007F26AC">
      <w:pPr>
        <w:spacing w:after="0" w:line="240" w:lineRule="auto"/>
      </w:pPr>
      <w:r>
        <w:continuationSeparator/>
      </w:r>
    </w:p>
  </w:footnote>
  <w:footnote w:id="1">
    <w:p w:rsidR="009637BC" w:rsidRPr="009637BC" w:rsidRDefault="009637BC">
      <w:pPr>
        <w:pStyle w:val="FootnoteText"/>
        <w:rPr>
          <w:lang w:val="en-US"/>
        </w:rPr>
      </w:pPr>
      <w:r>
        <w:rPr>
          <w:rStyle w:val="FootnoteReference"/>
        </w:rPr>
        <w:footnoteRef/>
      </w:r>
      <w:r>
        <w:t xml:space="preserve"> </w:t>
      </w:r>
      <w:r>
        <w:rPr>
          <w:lang w:val="en-US"/>
        </w:rPr>
        <w:t>Quyết định 899/QĐ-TTg ngày 10 tháng 6 năm 2013 về Phê duyệt Đề án tái cơ cấu ngành nông nghiệp theo hướng nâng cao giá trị gia tăng và phát triển bền vững.</w:t>
      </w:r>
    </w:p>
  </w:footnote>
  <w:footnote w:id="2">
    <w:p w:rsidR="009637BC" w:rsidRPr="009637BC" w:rsidRDefault="009637BC">
      <w:pPr>
        <w:pStyle w:val="FootnoteText"/>
      </w:pPr>
      <w:r>
        <w:rPr>
          <w:rStyle w:val="FootnoteReference"/>
        </w:rPr>
        <w:footnoteRef/>
      </w:r>
      <w:r>
        <w:rPr>
          <w:lang w:val="en-US"/>
        </w:rPr>
        <w:t xml:space="preserve"> Quyết định ?/QĐ-HHCPCC ngày ? tháng 10 năm 2016 về Phê duyệt Đề án nâng cao năng lực cạnh tranh cà phê Việt Nam theo hướng nâng cao giá trị gia tăng và phát triển bền vững.</w:t>
      </w:r>
      <w:r>
        <w:t xml:space="preserve"> </w:t>
      </w:r>
    </w:p>
  </w:footnote>
  <w:footnote w:id="3">
    <w:p w:rsidR="007E70AC" w:rsidRPr="0099087B" w:rsidRDefault="007E70AC" w:rsidP="007E70AC">
      <w:pPr>
        <w:pStyle w:val="FootnoteText"/>
        <w:jc w:val="both"/>
      </w:pPr>
      <w:r>
        <w:rPr>
          <w:rStyle w:val="FootnoteReference"/>
        </w:rPr>
        <w:footnoteRef/>
      </w:r>
      <w:r>
        <w:t xml:space="preserve"> </w:t>
      </w:r>
      <w:r w:rsidRPr="007E70AC">
        <w:t>Chuỗi giá trị lúa gạo của Tập đoàn Lộc Trời là một trong những điển hình thành công nhất ở Đồng bằng Sông Cửu Long. Tập đoàn Lộc Trời, tiền thân là CTCP Bảo Vệ Thực Vật An Giang, là nhà sản xuất, cung ứng sản phẩm và dịch vụ dẫn đầu thị trường Việt Nam trong lĩnh vực nông nghiệp, với chuỗi giá trị bền vững từ nghiên cứu, sản xuất, kinh doanh các sản phẩm hạt giống, thuốc bảo vệ thực vật, các sản phẩm hữu cơ sinh học, sản xuất và kinh doanh lúa gạo, cà phê, cây ăn quả. Thành lập từ năm 1993, trải qua 22 năm phát triển, công ty luôn gắn bó với người nông dân cùng những “hạt ngọc” mà họ làm ra, từ hạt bắp tới hạt lúa. Tập đoàn Lộc Trời là công ty tiên phong trong việc xây dựng Chuỗi giá trị sản xuất lúa gạo tại Việt Nam, hiện có sự tham gia của 40.000 hộ nông dân. Đây là nơi khởi nguồn cho phong trào xây dựng mô hình “cánh đồng mẫu lớn” trong sản xuất lúa gạo ở Việt Nam. Thêm nữa, Tập đoàn Lộc Trời là công ty tư nhân đầu tiên của Việt Nam sở hữu một trung tâm nghiên cứu khoa học nông nghiệp. Vào năm 2014, Tập đoàn Lộc Trời cũng là công ty đầu tiên phát hành thành công gần 1,9 triệu cổ phiếu với giá ưu đãi cho nông dân.</w:t>
      </w:r>
    </w:p>
    <w:p w:rsidR="007E70AC" w:rsidRPr="0099087B" w:rsidRDefault="007E70AC" w:rsidP="007E70AC">
      <w:pPr>
        <w:pStyle w:val="FootnoteText"/>
        <w:jc w:val="both"/>
      </w:pPr>
      <w:r w:rsidRPr="001F7178">
        <w:t>Ngoài mô hình của Tập đoàn Lộc Trời, chuỗi giá trị lúa gạo của công ty TNHH Võ Thị Thu Hà, công ty Lương thực Đồng Tháp cũng là một điển hình thành công về liên kết sản xuất, tiêu thụ lúa gạo giữa doanh nghiệp và nông dân thông qua các hợp tác xã. Các mô hình này tuy mức độ thành công chưa bằng của Tập đoàn Lộc Trời nhưng lại được đánh giá là có khả năng nhân rộng cao hơn.</w:t>
      </w:r>
    </w:p>
    <w:p w:rsidR="007E70AC" w:rsidRPr="0099087B" w:rsidRDefault="007E70AC" w:rsidP="007E70AC">
      <w:pPr>
        <w:pStyle w:val="FootnoteText"/>
        <w:jc w:val="both"/>
      </w:pPr>
      <w:r>
        <w:t xml:space="preserve">Chuỗi giá trị lúa gạo của </w:t>
      </w:r>
      <w:r w:rsidRPr="00B558BE">
        <w:t>công ty TNHH Hưng Cúc, chuỗi giá trị lúa giống của công ty TNHH Cường Tân là những điển hình thành công ở Đồng bằng Sông Hồng.</w:t>
      </w:r>
      <w:r w:rsidRPr="00C455DD">
        <w:t xml:space="preserve"> </w:t>
      </w:r>
      <w:r w:rsidRPr="008420B2">
        <w:t>Công ty TNHH Hưng Cúc</w:t>
      </w:r>
      <w:r w:rsidRPr="008A2403">
        <w:t xml:space="preserve"> (Thái Bình)</w:t>
      </w:r>
      <w:r w:rsidRPr="008420B2">
        <w:t xml:space="preserve"> thành lập năm 2003. Công ty có ngành nghề sản xuất kinh doanh chính là sản xuất, chế biến, kinh doanh, xuất khẩu nông sản, bao gồm cả gạo chất lượng cao. Năng lực sản xuất, chế biến đạt 100</w:t>
      </w:r>
      <w:r w:rsidRPr="00451104">
        <w:t>.</w:t>
      </w:r>
      <w:r w:rsidRPr="008420B2">
        <w:t>000 tấn nông sản/năm. Công ty là đơn vị duy nhất ở miền bắc có đủ tiêu chuẩn xuất khẩu nông sản sang Trung Quốc (chính ngạch) theo tiêu chuẩn của Tổng cục giám sát chất lượng, kiểm nghiệm và kiểm dịch quốc gia Trung Quốc.</w:t>
      </w:r>
      <w:r w:rsidRPr="002C28E0">
        <w:t xml:space="preserve"> Công ty đã liên kết với 28 hợp tác xã với tổng diện tích liên kết </w:t>
      </w:r>
      <w:r w:rsidRPr="00E52A23">
        <w:t>để sản xuất lúa chất lượng cao đạt 2.500 ha. Sản lượng lúa thu mua hàng năm qua chương trình liên kết đạt 15.000 tấn. Công ty đang xây dựng vùng sản xuất lúa an toàn VietGAP với diện tích hiện nay đạt 35 ha, mục tiêu đến năm 2018 đạt 100 ha. Công ty cũng đã tiếp cận với các thị trường xuất khẩu nông sản khó tính như Châu Âu, Đài Loan, Séc.</w:t>
      </w:r>
    </w:p>
    <w:p w:rsidR="007E70AC" w:rsidRPr="007E70AC" w:rsidRDefault="007E70AC" w:rsidP="007E70AC">
      <w:pPr>
        <w:pStyle w:val="FootnoteText"/>
        <w:jc w:val="both"/>
      </w:pPr>
      <w:r w:rsidRPr="008A2403">
        <w:t>Công ty TNHH Cường Tân (Thái Bình) thành lập năm 2005. Công ty có ngành nghề sản xuất kinh doanh chính là nghiên cứu, chọn tạo phát triển giống lúa mới, chuyển giao công nghệ, sản xuất, kinh doanh lúa giống.</w:t>
      </w:r>
      <w:r w:rsidRPr="00D0243A">
        <w:t xml:space="preserve"> Công ty đã gây được tiếng vang khi sẵn sàng trả một mức giá kỷ lục</w:t>
      </w:r>
      <w:r w:rsidRPr="00D13B4F">
        <w:t xml:space="preserve"> </w:t>
      </w:r>
      <w:r w:rsidRPr="00D0243A">
        <w:t>10 tỷ đồng để mua bản quyền của giống lúa TH3-3 của PGS-TS Nguyễn Thị Trâm (Học Viện Nông Nghiệp Việt Nam)</w:t>
      </w:r>
      <w:r w:rsidRPr="00D13B4F">
        <w:t>.</w:t>
      </w:r>
      <w:r w:rsidRPr="00EA31B5">
        <w:t xml:space="preserve"> </w:t>
      </w:r>
      <w:r w:rsidRPr="00B34990">
        <w:t>Công ty cũng đã được công nhận là doanh nghiệp Khoa học và Công nghệ ngày 10/9/2015.</w:t>
      </w:r>
      <w:r w:rsidRPr="000A45EA">
        <w:t xml:space="preserve"> </w:t>
      </w:r>
      <w:r w:rsidRPr="00EA31B5">
        <w:t>Công ty</w:t>
      </w:r>
      <w:r w:rsidRPr="00741EBA">
        <w:t xml:space="preserve"> ký hợp đồng</w:t>
      </w:r>
      <w:r w:rsidRPr="00EA31B5">
        <w:t xml:space="preserve"> thuê</w:t>
      </w:r>
      <w:r w:rsidRPr="0058231C">
        <w:t xml:space="preserve"> ruộng</w:t>
      </w:r>
      <w:r w:rsidRPr="00EA31B5">
        <w:t xml:space="preserve"> đất của các hộ nông dân (~400 hộ),</w:t>
      </w:r>
      <w:r w:rsidRPr="00741EBA">
        <w:t xml:space="preserve"> rồi</w:t>
      </w:r>
      <w:r w:rsidRPr="00EA31B5">
        <w:t xml:space="preserve"> thuê lại chính </w:t>
      </w:r>
      <w:r w:rsidRPr="00741EBA">
        <w:t>những người</w:t>
      </w:r>
      <w:r w:rsidRPr="00EA31B5">
        <w:t xml:space="preserve"> nông dân này (chỉ</w:t>
      </w:r>
      <w:r w:rsidRPr="00741EBA">
        <w:t xml:space="preserve"> chọn</w:t>
      </w:r>
      <w:r w:rsidRPr="00EA31B5">
        <w:t xml:space="preserve"> những </w:t>
      </w:r>
      <w:r w:rsidRPr="00741EBA">
        <w:t>người nông dân có</w:t>
      </w:r>
      <w:r w:rsidRPr="00EA31B5">
        <w:t xml:space="preserve"> năng lực sản xuất, tha thiết với nghề nông) để sản xuất lúa giống cho công ty. </w:t>
      </w:r>
      <w:r w:rsidRPr="0058231C">
        <w:t>Toàn bộ ruộng đất thuê lại sẽ được cải tạo thành cánh đồng mẫu lớn, xóa bỏ bờ thửa (nhưng vẫn đảm bảo quyền sở hữu của người nông dân).</w:t>
      </w:r>
      <w:r>
        <w:t xml:space="preserve"> C</w:t>
      </w:r>
      <w:r w:rsidRPr="001204A4">
        <w:t>hính nhờ cách làm này công ty đã xây dựng được vùng nguyên liệu sản xuất lúa giống rất hiệu quả.</w:t>
      </w:r>
    </w:p>
  </w:footnote>
  <w:footnote w:id="4">
    <w:p w:rsidR="007E70AC" w:rsidRDefault="007E70AC" w:rsidP="007E70AC">
      <w:pPr>
        <w:pStyle w:val="FootnoteText"/>
        <w:jc w:val="both"/>
      </w:pPr>
      <w:r>
        <w:rPr>
          <w:rStyle w:val="FootnoteReference"/>
        </w:rPr>
        <w:footnoteRef/>
      </w:r>
      <w:r>
        <w:t xml:space="preserve"> Chuỗi giá trị sữa và sản phẩm sữa của Tập đoàn Vinamilk và TH TrueMilk. Tập đoàn Vinamilk là doanh nghiệp số 1 trong ngành sữa của Việt Nam hiện nay. Đây là doanh nghiệp sữa nội địa có lịch sử lâu đời nhất từ năm 1976 (Công ty Sữa-Cà phê Miền Nam). Vinamilk thu mua phần lớn sữa tươi từ hơn 5.000 hộ chăn nuôi bò sữa có tham gia hợp đồng với doanh nghiệp với tổng đàn bò sữa đạt 65.000 con, cung ứng khoảng 460 tấn sữa tươi nguyên liệu/ngày. Ngoài ra, Vinamilk cũng có 5 trang trại bò sữa của riêng doanh nghiệp với khoảng 8.000 con, cung ứng 90 tấn sữa tươi nguyên liệu/ngày. </w:t>
      </w:r>
    </w:p>
    <w:p w:rsidR="007E70AC" w:rsidRPr="007E70AC" w:rsidRDefault="007E70AC" w:rsidP="007E70AC">
      <w:pPr>
        <w:pStyle w:val="FootnoteText"/>
        <w:jc w:val="both"/>
      </w:pPr>
      <w:r>
        <w:t>TH True MILK, một doanh nghiệp sữa mới thành lập từ năm 2010, đang ngày càng gặt hái nhiều thành công trong phân khúc sữa nước với slogan hoàn toàn tự nhiên. Nếu Vinamilk phần lớn vào nguồn nguyên liệu sữa tươi của các hộ chăn nuôi bò sữa thì TH True MILK hoàn toàn dựa vào các trang trại sữa của riêng mình. TH True MILK tự nhập khẩu bò sữa, tự sản xuất thức ăn chăn nuôi bò, áp dụng hệ thống tự động hóa và tiêu chuẩn hóa cao trong các khâu quản lý nước, chuồng trại, đàn bò, chăm sóc sức khỏe, vắt sữa, vận chuyển, chế biến, phân phối. Tổng đàn bò sữa của TH True MILK có khoảng 40.000 con, nằm ở trang trại rộng 8.100 ha. Sản lượng sữa tươi đạt khoảng 400 tấn/ngày. TH True MILK đặt mục tiêu mở rộng tổng đàn bò sữa trong trang trại lên 137.000 năm 2017 và 203.000 năm 2020.</w:t>
      </w:r>
    </w:p>
  </w:footnote>
  <w:footnote w:id="5">
    <w:p w:rsidR="007E70AC" w:rsidRDefault="007E70AC" w:rsidP="007E70AC">
      <w:pPr>
        <w:pStyle w:val="FootnoteText"/>
        <w:jc w:val="both"/>
      </w:pPr>
      <w:r>
        <w:rPr>
          <w:rStyle w:val="FootnoteReference"/>
        </w:rPr>
        <w:footnoteRef/>
      </w:r>
      <w:r>
        <w:t xml:space="preserve"> Chuỗi giá trị thủy sản của CTCP Hùng Vương (cá tra, cá ba sa) và CTCP Tập đoàn Thủy sản Minh Phú (tôm). CTCP Hùng Vương là doanh nghiệp dẫn đầu trong chế biến, xuất khẩu cá da trơn ở Việt Nam. Tiền thân Công Ty Cổ Phần Hùng Vương là Công Ty TNHH Hùng Vương, được thành lập và đi vào hoạt động từ năm 2003 tại khu Công nghiệp Mỹ Tho, tỉnh Tiền Giang. Hùng Vương là doanh nghiêp duy nhất ở Việt Nam có quy trình sản xuất khép kín từ sản xuất thức ăn chăn nuôi đến nuôi trồng, chế biến và xuất khẩu. Hùng Vương hiện có 11 công ty con và liên kết, trải dài ở các lĩnh vực thức ăn, nuôi trồng, chế biến thủy sản, chủ yếu cá da trơn. Nguồn nguyên liệu cá tra, cá ba sa cho chế biến được cung cấp bởi các trang trại nuôi trồng thủy sản của công ty (~150 ha), ngoài ra công ty cũng hợp tác lâu dài với các hộ chăn nuôi cá với diện tích nuôi trồng hơn 150 ha. Hình thức hợp tác là công ty đầu tư thức ăn và khoán chi phí trên một kg nguyên liệu. Vùng nguyên liệu trải dài ở các tỉnh An Giang, Đồng Tháp, Cần Thơ, Vĩnh Long, Bến Tre, Tiền Giang. Hùng Vương còn có nhà máy sản xuất thức ăn thủy sản để chủ động thức ăn trong nuôi trồng. </w:t>
      </w:r>
    </w:p>
    <w:p w:rsidR="007E70AC" w:rsidRPr="007E70AC" w:rsidRDefault="007E70AC" w:rsidP="007E70AC">
      <w:pPr>
        <w:pStyle w:val="FootnoteText"/>
        <w:jc w:val="both"/>
      </w:pPr>
      <w:r>
        <w:t>Nếu CTCP Hùng Vương được mệnh danh là vua cá thì CTCP Tập đoàn Thủy Sản Minh Phú được mệnh danh là vua tôm ở Việt Nam. Con tôm của Minh Phú hiện đang có mặt tại hơn 50 quốc gia và vùng lãnh thổ, với doanh thu trên 10.000 tỷ VNĐ mỗi năm. Minh Phú đã xây dựng chuỗi giá trị tôm khép kín từ nghiên cứu và phát triển, trại giống, thức ăn, vùng nuôi, chế biến, xuất khẩu và logistics. Hiện tại, Minh Phú có tổng cộng 10 công ty thành viên, bao gồm 4 nhà máy chế biến tôm và 8 công ty trực thuộc tập đoàn. Mỗi thành viên là một mắt xích quan trọng trong toàn bộ chuỗi giá trị sản xuất tôm của Minh Phú.</w:t>
      </w:r>
    </w:p>
  </w:footnote>
  <w:footnote w:id="6">
    <w:p w:rsidR="003778E3" w:rsidRPr="003778E3" w:rsidRDefault="003778E3" w:rsidP="003778E3">
      <w:pPr>
        <w:pStyle w:val="FootnoteText"/>
        <w:jc w:val="both"/>
      </w:pPr>
      <w:r>
        <w:rPr>
          <w:rStyle w:val="FootnoteReference"/>
        </w:rPr>
        <w:footnoteRef/>
      </w:r>
      <w:r>
        <w:t xml:space="preserve"> </w:t>
      </w:r>
      <w:r w:rsidRPr="003778E3">
        <w:t>Với quy mô diện tích lớn, thuận tiện trong việc áp dụng cơ giới hóa, giúp tiết kiệm chi phí và thời gian, ở Đồng bằng sông Cửu Long, mỗi hecta lúa tham gia trong cánh đồng lớn có thể giảm chi phí từ 10-15%, tăng giá trị sản lượng từ 20-25% và thu lời thêm từ 2,2-7,5 triệu đồng/ha. Ở miền Bắc, các mô hình cánh đồng lớn cho hiệu quả trên 1 ha lúa thấp hơn, giá trị sản lượng tăng từ 17-25% tùy từng địa phương. Tham gia cánh đồng lớn, nông dân được ký hợp đồng tiêu thụ nông sản ổn định, được hỗ trợ kỹ thuật và trong một số mô hình còn được doanh nghiệp liên kết cung ứng vật tư không tính lãi. Các doanh nghiệp có vùng nguyên liệu ổn định với chất lượng bảo đảm và tiết kiệm chi phí thu mua, vận chuyển.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A0955"/>
    <w:multiLevelType w:val="hybridMultilevel"/>
    <w:tmpl w:val="ECCCFA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8"/>
    <w:rsid w:val="00000B80"/>
    <w:rsid w:val="000152D5"/>
    <w:rsid w:val="00031118"/>
    <w:rsid w:val="000469C5"/>
    <w:rsid w:val="00054E48"/>
    <w:rsid w:val="00061B2B"/>
    <w:rsid w:val="00066A98"/>
    <w:rsid w:val="00072C67"/>
    <w:rsid w:val="00076E0D"/>
    <w:rsid w:val="00081C12"/>
    <w:rsid w:val="00085C16"/>
    <w:rsid w:val="0009240B"/>
    <w:rsid w:val="000A02C9"/>
    <w:rsid w:val="000B3175"/>
    <w:rsid w:val="000B4E14"/>
    <w:rsid w:val="000D4104"/>
    <w:rsid w:val="000E1E02"/>
    <w:rsid w:val="000E6B87"/>
    <w:rsid w:val="000F02BB"/>
    <w:rsid w:val="000F4054"/>
    <w:rsid w:val="00135620"/>
    <w:rsid w:val="00150E6E"/>
    <w:rsid w:val="001645BB"/>
    <w:rsid w:val="001749B0"/>
    <w:rsid w:val="001810F9"/>
    <w:rsid w:val="001A7DC9"/>
    <w:rsid w:val="001B60DF"/>
    <w:rsid w:val="001C3D26"/>
    <w:rsid w:val="001C6748"/>
    <w:rsid w:val="001D1E34"/>
    <w:rsid w:val="001E113D"/>
    <w:rsid w:val="001E4470"/>
    <w:rsid w:val="001E477E"/>
    <w:rsid w:val="001E66EB"/>
    <w:rsid w:val="001E6E18"/>
    <w:rsid w:val="001F7E67"/>
    <w:rsid w:val="00230FD2"/>
    <w:rsid w:val="00235159"/>
    <w:rsid w:val="00246B4B"/>
    <w:rsid w:val="00272307"/>
    <w:rsid w:val="00274234"/>
    <w:rsid w:val="00281483"/>
    <w:rsid w:val="002B523F"/>
    <w:rsid w:val="002B7DDB"/>
    <w:rsid w:val="002C01EC"/>
    <w:rsid w:val="002C56CF"/>
    <w:rsid w:val="002D5E65"/>
    <w:rsid w:val="002D6BD7"/>
    <w:rsid w:val="002E2E1F"/>
    <w:rsid w:val="002F283E"/>
    <w:rsid w:val="002F32C7"/>
    <w:rsid w:val="0030759B"/>
    <w:rsid w:val="003315A4"/>
    <w:rsid w:val="003337FE"/>
    <w:rsid w:val="0033589E"/>
    <w:rsid w:val="00350C55"/>
    <w:rsid w:val="00354C96"/>
    <w:rsid w:val="003778E3"/>
    <w:rsid w:val="003841DE"/>
    <w:rsid w:val="00385DDD"/>
    <w:rsid w:val="00394A6E"/>
    <w:rsid w:val="003A2EF7"/>
    <w:rsid w:val="003D5E9B"/>
    <w:rsid w:val="003D708B"/>
    <w:rsid w:val="003F0BF6"/>
    <w:rsid w:val="00412ED4"/>
    <w:rsid w:val="00441E28"/>
    <w:rsid w:val="00457C33"/>
    <w:rsid w:val="004A3D85"/>
    <w:rsid w:val="004A7D19"/>
    <w:rsid w:val="004B783C"/>
    <w:rsid w:val="004E3938"/>
    <w:rsid w:val="004E6871"/>
    <w:rsid w:val="004F3AD1"/>
    <w:rsid w:val="005013D2"/>
    <w:rsid w:val="00525D5C"/>
    <w:rsid w:val="005411A1"/>
    <w:rsid w:val="00555E66"/>
    <w:rsid w:val="005628B7"/>
    <w:rsid w:val="00567010"/>
    <w:rsid w:val="005670CA"/>
    <w:rsid w:val="00567C31"/>
    <w:rsid w:val="005769D7"/>
    <w:rsid w:val="00581E78"/>
    <w:rsid w:val="0059490F"/>
    <w:rsid w:val="0059659E"/>
    <w:rsid w:val="005A5FD0"/>
    <w:rsid w:val="005D37EE"/>
    <w:rsid w:val="005F564A"/>
    <w:rsid w:val="00603A59"/>
    <w:rsid w:val="00625AFA"/>
    <w:rsid w:val="00644594"/>
    <w:rsid w:val="00645AFC"/>
    <w:rsid w:val="00673018"/>
    <w:rsid w:val="00674012"/>
    <w:rsid w:val="00680128"/>
    <w:rsid w:val="00681870"/>
    <w:rsid w:val="00684DD3"/>
    <w:rsid w:val="006A2C01"/>
    <w:rsid w:val="006C7BDC"/>
    <w:rsid w:val="006E2F4B"/>
    <w:rsid w:val="006E4AEA"/>
    <w:rsid w:val="006E7163"/>
    <w:rsid w:val="007203FF"/>
    <w:rsid w:val="00724386"/>
    <w:rsid w:val="00726207"/>
    <w:rsid w:val="00727D3A"/>
    <w:rsid w:val="00733C06"/>
    <w:rsid w:val="00781C08"/>
    <w:rsid w:val="0078594F"/>
    <w:rsid w:val="00797E43"/>
    <w:rsid w:val="007C2AD0"/>
    <w:rsid w:val="007D48C0"/>
    <w:rsid w:val="007E70AC"/>
    <w:rsid w:val="007F26AC"/>
    <w:rsid w:val="00820ECE"/>
    <w:rsid w:val="0083018C"/>
    <w:rsid w:val="00850E1F"/>
    <w:rsid w:val="0087016C"/>
    <w:rsid w:val="00884E21"/>
    <w:rsid w:val="008865E4"/>
    <w:rsid w:val="008A4191"/>
    <w:rsid w:val="008D164A"/>
    <w:rsid w:val="008D56AD"/>
    <w:rsid w:val="008E2DB7"/>
    <w:rsid w:val="008E61AC"/>
    <w:rsid w:val="008E6DD4"/>
    <w:rsid w:val="008E78F0"/>
    <w:rsid w:val="00901640"/>
    <w:rsid w:val="009131F2"/>
    <w:rsid w:val="00915343"/>
    <w:rsid w:val="0092144D"/>
    <w:rsid w:val="00930313"/>
    <w:rsid w:val="009335B9"/>
    <w:rsid w:val="00956E32"/>
    <w:rsid w:val="009637BC"/>
    <w:rsid w:val="00976C2A"/>
    <w:rsid w:val="0099087B"/>
    <w:rsid w:val="009C1100"/>
    <w:rsid w:val="009C1927"/>
    <w:rsid w:val="009C19BF"/>
    <w:rsid w:val="00A002E1"/>
    <w:rsid w:val="00A0499E"/>
    <w:rsid w:val="00A1099C"/>
    <w:rsid w:val="00A11341"/>
    <w:rsid w:val="00A35EF7"/>
    <w:rsid w:val="00A8068D"/>
    <w:rsid w:val="00A81F29"/>
    <w:rsid w:val="00A876C3"/>
    <w:rsid w:val="00A96DC2"/>
    <w:rsid w:val="00AA1449"/>
    <w:rsid w:val="00AC2B9A"/>
    <w:rsid w:val="00B02537"/>
    <w:rsid w:val="00B04B54"/>
    <w:rsid w:val="00B16B38"/>
    <w:rsid w:val="00B25771"/>
    <w:rsid w:val="00B262D9"/>
    <w:rsid w:val="00B33569"/>
    <w:rsid w:val="00B3673E"/>
    <w:rsid w:val="00B36FF6"/>
    <w:rsid w:val="00B4179B"/>
    <w:rsid w:val="00B45A0D"/>
    <w:rsid w:val="00B61704"/>
    <w:rsid w:val="00B6209D"/>
    <w:rsid w:val="00B63A77"/>
    <w:rsid w:val="00B9025D"/>
    <w:rsid w:val="00BC27FD"/>
    <w:rsid w:val="00BF12B3"/>
    <w:rsid w:val="00C125B9"/>
    <w:rsid w:val="00C17146"/>
    <w:rsid w:val="00C21AEC"/>
    <w:rsid w:val="00C47DFE"/>
    <w:rsid w:val="00C72525"/>
    <w:rsid w:val="00C82C71"/>
    <w:rsid w:val="00C974F8"/>
    <w:rsid w:val="00CA3E15"/>
    <w:rsid w:val="00CA4FB6"/>
    <w:rsid w:val="00CA5E39"/>
    <w:rsid w:val="00CA6ABE"/>
    <w:rsid w:val="00CB02EB"/>
    <w:rsid w:val="00CB0571"/>
    <w:rsid w:val="00CC1089"/>
    <w:rsid w:val="00CC3245"/>
    <w:rsid w:val="00CC535C"/>
    <w:rsid w:val="00CD3182"/>
    <w:rsid w:val="00CE160C"/>
    <w:rsid w:val="00CE5D87"/>
    <w:rsid w:val="00CE7703"/>
    <w:rsid w:val="00D020A9"/>
    <w:rsid w:val="00D0499F"/>
    <w:rsid w:val="00D0621E"/>
    <w:rsid w:val="00D1716B"/>
    <w:rsid w:val="00D20AE5"/>
    <w:rsid w:val="00D33667"/>
    <w:rsid w:val="00D427DE"/>
    <w:rsid w:val="00D46C6E"/>
    <w:rsid w:val="00D80FF5"/>
    <w:rsid w:val="00D81A6A"/>
    <w:rsid w:val="00D829AE"/>
    <w:rsid w:val="00D91B29"/>
    <w:rsid w:val="00D9201D"/>
    <w:rsid w:val="00D97532"/>
    <w:rsid w:val="00DC7837"/>
    <w:rsid w:val="00DD770D"/>
    <w:rsid w:val="00DE5CF2"/>
    <w:rsid w:val="00DF0CB0"/>
    <w:rsid w:val="00DF4766"/>
    <w:rsid w:val="00DF5009"/>
    <w:rsid w:val="00DF6024"/>
    <w:rsid w:val="00E04626"/>
    <w:rsid w:val="00E04F8F"/>
    <w:rsid w:val="00E102F3"/>
    <w:rsid w:val="00E11D32"/>
    <w:rsid w:val="00E149CC"/>
    <w:rsid w:val="00E15CF4"/>
    <w:rsid w:val="00E16615"/>
    <w:rsid w:val="00E275F3"/>
    <w:rsid w:val="00E31CE3"/>
    <w:rsid w:val="00E3564B"/>
    <w:rsid w:val="00E36FB0"/>
    <w:rsid w:val="00E42AA1"/>
    <w:rsid w:val="00E5112E"/>
    <w:rsid w:val="00E579B5"/>
    <w:rsid w:val="00E61F44"/>
    <w:rsid w:val="00E7285D"/>
    <w:rsid w:val="00E76863"/>
    <w:rsid w:val="00E8710F"/>
    <w:rsid w:val="00E87D8A"/>
    <w:rsid w:val="00EA18F0"/>
    <w:rsid w:val="00EA4929"/>
    <w:rsid w:val="00EA56BB"/>
    <w:rsid w:val="00EC5DC6"/>
    <w:rsid w:val="00ED7E76"/>
    <w:rsid w:val="00EE15D9"/>
    <w:rsid w:val="00EF3E5D"/>
    <w:rsid w:val="00F10916"/>
    <w:rsid w:val="00F10A66"/>
    <w:rsid w:val="00F34510"/>
    <w:rsid w:val="00F4137D"/>
    <w:rsid w:val="00F447E7"/>
    <w:rsid w:val="00F472D9"/>
    <w:rsid w:val="00F50CFA"/>
    <w:rsid w:val="00F60F42"/>
    <w:rsid w:val="00F70EEE"/>
    <w:rsid w:val="00F76E8B"/>
    <w:rsid w:val="00F8166F"/>
    <w:rsid w:val="00F920DD"/>
    <w:rsid w:val="00FB1260"/>
    <w:rsid w:val="00FB3140"/>
    <w:rsid w:val="00FB7B6A"/>
    <w:rsid w:val="00FB7BBD"/>
    <w:rsid w:val="00FF009B"/>
    <w:rsid w:val="00FF2E43"/>
    <w:rsid w:val="00FF610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AC"/>
    <w:pPr>
      <w:spacing w:line="360" w:lineRule="auto"/>
      <w:ind w:firstLine="720"/>
    </w:pPr>
    <w:rPr>
      <w:rFonts w:asciiTheme="majorHAnsi" w:hAnsiTheme="majorHAnsi"/>
      <w:sz w:val="26"/>
    </w:rPr>
  </w:style>
  <w:style w:type="paragraph" w:styleId="Heading1">
    <w:name w:val="heading 1"/>
    <w:basedOn w:val="Normal"/>
    <w:next w:val="Normal"/>
    <w:link w:val="Heading1Char"/>
    <w:uiPriority w:val="9"/>
    <w:qFormat/>
    <w:rsid w:val="007F26AC"/>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F26AC"/>
    <w:p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7F26AC"/>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F26AC"/>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7F26AC"/>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F26AC"/>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F26AC"/>
    <w:pPr>
      <w:spacing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F26AC"/>
    <w:pPr>
      <w:spacing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7F26AC"/>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A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F26A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F26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F26A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F26A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F26A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F26A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F26A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F26A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F26AC"/>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7F26A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F26AC"/>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7F26AC"/>
    <w:rPr>
      <w:rFonts w:asciiTheme="majorHAnsi" w:eastAsiaTheme="majorEastAsia" w:hAnsiTheme="majorHAnsi" w:cstheme="majorBidi"/>
      <w:i/>
      <w:iCs/>
      <w:spacing w:val="13"/>
      <w:sz w:val="24"/>
      <w:szCs w:val="24"/>
    </w:rPr>
  </w:style>
  <w:style w:type="character" w:styleId="Strong">
    <w:name w:val="Strong"/>
    <w:uiPriority w:val="22"/>
    <w:qFormat/>
    <w:rsid w:val="007F26AC"/>
    <w:rPr>
      <w:b/>
      <w:bCs/>
    </w:rPr>
  </w:style>
  <w:style w:type="character" w:styleId="Emphasis">
    <w:name w:val="Emphasis"/>
    <w:uiPriority w:val="20"/>
    <w:qFormat/>
    <w:rsid w:val="007F26AC"/>
    <w:rPr>
      <w:b/>
      <w:bCs/>
      <w:i/>
      <w:iCs/>
      <w:spacing w:val="10"/>
      <w:bdr w:val="none" w:sz="0" w:space="0" w:color="auto"/>
      <w:shd w:val="clear" w:color="auto" w:fill="auto"/>
    </w:rPr>
  </w:style>
  <w:style w:type="paragraph" w:styleId="NoSpacing">
    <w:name w:val="No Spacing"/>
    <w:basedOn w:val="Normal"/>
    <w:uiPriority w:val="1"/>
    <w:qFormat/>
    <w:rsid w:val="007F26AC"/>
    <w:pPr>
      <w:spacing w:after="0" w:line="240" w:lineRule="auto"/>
    </w:pPr>
  </w:style>
  <w:style w:type="paragraph" w:styleId="ListParagraph">
    <w:name w:val="List Paragraph"/>
    <w:basedOn w:val="Normal"/>
    <w:uiPriority w:val="34"/>
    <w:qFormat/>
    <w:rsid w:val="007F26AC"/>
    <w:pPr>
      <w:ind w:left="720"/>
      <w:contextualSpacing/>
    </w:pPr>
  </w:style>
  <w:style w:type="paragraph" w:styleId="Quote">
    <w:name w:val="Quote"/>
    <w:basedOn w:val="Normal"/>
    <w:next w:val="Normal"/>
    <w:link w:val="QuoteChar"/>
    <w:uiPriority w:val="29"/>
    <w:qFormat/>
    <w:rsid w:val="007F26AC"/>
    <w:pPr>
      <w:spacing w:before="200" w:after="0"/>
      <w:ind w:left="360" w:right="360"/>
    </w:pPr>
    <w:rPr>
      <w:i/>
      <w:iCs/>
    </w:rPr>
  </w:style>
  <w:style w:type="character" w:customStyle="1" w:styleId="QuoteChar">
    <w:name w:val="Quote Char"/>
    <w:basedOn w:val="DefaultParagraphFont"/>
    <w:link w:val="Quote"/>
    <w:uiPriority w:val="29"/>
    <w:rsid w:val="007F26AC"/>
    <w:rPr>
      <w:i/>
      <w:iCs/>
    </w:rPr>
  </w:style>
  <w:style w:type="paragraph" w:styleId="IntenseQuote">
    <w:name w:val="Intense Quote"/>
    <w:basedOn w:val="Normal"/>
    <w:next w:val="Normal"/>
    <w:link w:val="IntenseQuoteChar"/>
    <w:uiPriority w:val="30"/>
    <w:qFormat/>
    <w:rsid w:val="007F26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F26AC"/>
    <w:rPr>
      <w:b/>
      <w:bCs/>
      <w:i/>
      <w:iCs/>
    </w:rPr>
  </w:style>
  <w:style w:type="character" w:styleId="SubtleEmphasis">
    <w:name w:val="Subtle Emphasis"/>
    <w:uiPriority w:val="19"/>
    <w:qFormat/>
    <w:rsid w:val="007F26AC"/>
    <w:rPr>
      <w:i/>
      <w:iCs/>
    </w:rPr>
  </w:style>
  <w:style w:type="character" w:styleId="IntenseEmphasis">
    <w:name w:val="Intense Emphasis"/>
    <w:uiPriority w:val="21"/>
    <w:qFormat/>
    <w:rsid w:val="007F26AC"/>
    <w:rPr>
      <w:b/>
      <w:bCs/>
    </w:rPr>
  </w:style>
  <w:style w:type="character" w:styleId="SubtleReference">
    <w:name w:val="Subtle Reference"/>
    <w:uiPriority w:val="31"/>
    <w:qFormat/>
    <w:rsid w:val="007F26AC"/>
    <w:rPr>
      <w:smallCaps/>
    </w:rPr>
  </w:style>
  <w:style w:type="character" w:styleId="IntenseReference">
    <w:name w:val="Intense Reference"/>
    <w:uiPriority w:val="32"/>
    <w:qFormat/>
    <w:rsid w:val="007F26AC"/>
    <w:rPr>
      <w:smallCaps/>
      <w:spacing w:val="5"/>
      <w:u w:val="single"/>
    </w:rPr>
  </w:style>
  <w:style w:type="character" w:styleId="BookTitle">
    <w:name w:val="Book Title"/>
    <w:uiPriority w:val="33"/>
    <w:qFormat/>
    <w:rsid w:val="007F26AC"/>
    <w:rPr>
      <w:i/>
      <w:iCs/>
      <w:smallCaps/>
      <w:spacing w:val="5"/>
    </w:rPr>
  </w:style>
  <w:style w:type="paragraph" w:styleId="TOCHeading">
    <w:name w:val="TOC Heading"/>
    <w:basedOn w:val="Heading1"/>
    <w:next w:val="Normal"/>
    <w:uiPriority w:val="39"/>
    <w:semiHidden/>
    <w:unhideWhenUsed/>
    <w:qFormat/>
    <w:rsid w:val="007F26AC"/>
    <w:pPr>
      <w:outlineLvl w:val="9"/>
    </w:pPr>
    <w:rPr>
      <w:lang w:bidi="en-US"/>
    </w:rPr>
  </w:style>
  <w:style w:type="paragraph" w:styleId="Header">
    <w:name w:val="header"/>
    <w:basedOn w:val="Normal"/>
    <w:link w:val="HeaderChar"/>
    <w:uiPriority w:val="99"/>
    <w:unhideWhenUsed/>
    <w:rsid w:val="007F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6AC"/>
    <w:rPr>
      <w:rFonts w:asciiTheme="majorHAnsi" w:hAnsiTheme="majorHAnsi"/>
      <w:sz w:val="26"/>
    </w:rPr>
  </w:style>
  <w:style w:type="paragraph" w:styleId="Footer">
    <w:name w:val="footer"/>
    <w:basedOn w:val="Normal"/>
    <w:link w:val="FooterChar"/>
    <w:uiPriority w:val="99"/>
    <w:unhideWhenUsed/>
    <w:rsid w:val="007F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6AC"/>
    <w:rPr>
      <w:rFonts w:asciiTheme="majorHAnsi" w:hAnsiTheme="majorHAnsi"/>
      <w:sz w:val="26"/>
    </w:rPr>
  </w:style>
  <w:style w:type="paragraph" w:styleId="FootnoteText">
    <w:name w:val="footnote text"/>
    <w:basedOn w:val="Normal"/>
    <w:link w:val="FootnoteTextChar"/>
    <w:uiPriority w:val="99"/>
    <w:semiHidden/>
    <w:unhideWhenUsed/>
    <w:rsid w:val="00BF1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2B3"/>
    <w:rPr>
      <w:rFonts w:asciiTheme="majorHAnsi" w:hAnsiTheme="majorHAnsi"/>
      <w:sz w:val="20"/>
      <w:szCs w:val="20"/>
    </w:rPr>
  </w:style>
  <w:style w:type="character" w:styleId="FootnoteReference">
    <w:name w:val="footnote reference"/>
    <w:basedOn w:val="DefaultParagraphFont"/>
    <w:uiPriority w:val="99"/>
    <w:semiHidden/>
    <w:unhideWhenUsed/>
    <w:rsid w:val="00BF12B3"/>
    <w:rPr>
      <w:vertAlign w:val="superscript"/>
    </w:rPr>
  </w:style>
  <w:style w:type="table" w:styleId="TableGrid">
    <w:name w:val="Table Grid"/>
    <w:basedOn w:val="TableNormal"/>
    <w:uiPriority w:val="59"/>
    <w:rsid w:val="001E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B262D9"/>
    <w:pPr>
      <w:spacing w:line="240" w:lineRule="auto"/>
    </w:pPr>
    <w:rPr>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AC"/>
    <w:pPr>
      <w:spacing w:line="360" w:lineRule="auto"/>
      <w:ind w:firstLine="720"/>
    </w:pPr>
    <w:rPr>
      <w:rFonts w:asciiTheme="majorHAnsi" w:hAnsiTheme="majorHAnsi"/>
      <w:sz w:val="26"/>
    </w:rPr>
  </w:style>
  <w:style w:type="paragraph" w:styleId="Heading1">
    <w:name w:val="heading 1"/>
    <w:basedOn w:val="Normal"/>
    <w:next w:val="Normal"/>
    <w:link w:val="Heading1Char"/>
    <w:uiPriority w:val="9"/>
    <w:qFormat/>
    <w:rsid w:val="007F26AC"/>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F26AC"/>
    <w:p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7F26AC"/>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F26AC"/>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7F26AC"/>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F26AC"/>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F26AC"/>
    <w:pPr>
      <w:spacing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F26AC"/>
    <w:pPr>
      <w:spacing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7F26AC"/>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A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F26A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F26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F26A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F26A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F26A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F26A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F26A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F26A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F26AC"/>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7F26A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F26AC"/>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7F26AC"/>
    <w:rPr>
      <w:rFonts w:asciiTheme="majorHAnsi" w:eastAsiaTheme="majorEastAsia" w:hAnsiTheme="majorHAnsi" w:cstheme="majorBidi"/>
      <w:i/>
      <w:iCs/>
      <w:spacing w:val="13"/>
      <w:sz w:val="24"/>
      <w:szCs w:val="24"/>
    </w:rPr>
  </w:style>
  <w:style w:type="character" w:styleId="Strong">
    <w:name w:val="Strong"/>
    <w:uiPriority w:val="22"/>
    <w:qFormat/>
    <w:rsid w:val="007F26AC"/>
    <w:rPr>
      <w:b/>
      <w:bCs/>
    </w:rPr>
  </w:style>
  <w:style w:type="character" w:styleId="Emphasis">
    <w:name w:val="Emphasis"/>
    <w:uiPriority w:val="20"/>
    <w:qFormat/>
    <w:rsid w:val="007F26AC"/>
    <w:rPr>
      <w:b/>
      <w:bCs/>
      <w:i/>
      <w:iCs/>
      <w:spacing w:val="10"/>
      <w:bdr w:val="none" w:sz="0" w:space="0" w:color="auto"/>
      <w:shd w:val="clear" w:color="auto" w:fill="auto"/>
    </w:rPr>
  </w:style>
  <w:style w:type="paragraph" w:styleId="NoSpacing">
    <w:name w:val="No Spacing"/>
    <w:basedOn w:val="Normal"/>
    <w:uiPriority w:val="1"/>
    <w:qFormat/>
    <w:rsid w:val="007F26AC"/>
    <w:pPr>
      <w:spacing w:after="0" w:line="240" w:lineRule="auto"/>
    </w:pPr>
  </w:style>
  <w:style w:type="paragraph" w:styleId="ListParagraph">
    <w:name w:val="List Paragraph"/>
    <w:basedOn w:val="Normal"/>
    <w:uiPriority w:val="34"/>
    <w:qFormat/>
    <w:rsid w:val="007F26AC"/>
    <w:pPr>
      <w:ind w:left="720"/>
      <w:contextualSpacing/>
    </w:pPr>
  </w:style>
  <w:style w:type="paragraph" w:styleId="Quote">
    <w:name w:val="Quote"/>
    <w:basedOn w:val="Normal"/>
    <w:next w:val="Normal"/>
    <w:link w:val="QuoteChar"/>
    <w:uiPriority w:val="29"/>
    <w:qFormat/>
    <w:rsid w:val="007F26AC"/>
    <w:pPr>
      <w:spacing w:before="200" w:after="0"/>
      <w:ind w:left="360" w:right="360"/>
    </w:pPr>
    <w:rPr>
      <w:i/>
      <w:iCs/>
    </w:rPr>
  </w:style>
  <w:style w:type="character" w:customStyle="1" w:styleId="QuoteChar">
    <w:name w:val="Quote Char"/>
    <w:basedOn w:val="DefaultParagraphFont"/>
    <w:link w:val="Quote"/>
    <w:uiPriority w:val="29"/>
    <w:rsid w:val="007F26AC"/>
    <w:rPr>
      <w:i/>
      <w:iCs/>
    </w:rPr>
  </w:style>
  <w:style w:type="paragraph" w:styleId="IntenseQuote">
    <w:name w:val="Intense Quote"/>
    <w:basedOn w:val="Normal"/>
    <w:next w:val="Normal"/>
    <w:link w:val="IntenseQuoteChar"/>
    <w:uiPriority w:val="30"/>
    <w:qFormat/>
    <w:rsid w:val="007F26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F26AC"/>
    <w:rPr>
      <w:b/>
      <w:bCs/>
      <w:i/>
      <w:iCs/>
    </w:rPr>
  </w:style>
  <w:style w:type="character" w:styleId="SubtleEmphasis">
    <w:name w:val="Subtle Emphasis"/>
    <w:uiPriority w:val="19"/>
    <w:qFormat/>
    <w:rsid w:val="007F26AC"/>
    <w:rPr>
      <w:i/>
      <w:iCs/>
    </w:rPr>
  </w:style>
  <w:style w:type="character" w:styleId="IntenseEmphasis">
    <w:name w:val="Intense Emphasis"/>
    <w:uiPriority w:val="21"/>
    <w:qFormat/>
    <w:rsid w:val="007F26AC"/>
    <w:rPr>
      <w:b/>
      <w:bCs/>
    </w:rPr>
  </w:style>
  <w:style w:type="character" w:styleId="SubtleReference">
    <w:name w:val="Subtle Reference"/>
    <w:uiPriority w:val="31"/>
    <w:qFormat/>
    <w:rsid w:val="007F26AC"/>
    <w:rPr>
      <w:smallCaps/>
    </w:rPr>
  </w:style>
  <w:style w:type="character" w:styleId="IntenseReference">
    <w:name w:val="Intense Reference"/>
    <w:uiPriority w:val="32"/>
    <w:qFormat/>
    <w:rsid w:val="007F26AC"/>
    <w:rPr>
      <w:smallCaps/>
      <w:spacing w:val="5"/>
      <w:u w:val="single"/>
    </w:rPr>
  </w:style>
  <w:style w:type="character" w:styleId="BookTitle">
    <w:name w:val="Book Title"/>
    <w:uiPriority w:val="33"/>
    <w:qFormat/>
    <w:rsid w:val="007F26AC"/>
    <w:rPr>
      <w:i/>
      <w:iCs/>
      <w:smallCaps/>
      <w:spacing w:val="5"/>
    </w:rPr>
  </w:style>
  <w:style w:type="paragraph" w:styleId="TOCHeading">
    <w:name w:val="TOC Heading"/>
    <w:basedOn w:val="Heading1"/>
    <w:next w:val="Normal"/>
    <w:uiPriority w:val="39"/>
    <w:semiHidden/>
    <w:unhideWhenUsed/>
    <w:qFormat/>
    <w:rsid w:val="007F26AC"/>
    <w:pPr>
      <w:outlineLvl w:val="9"/>
    </w:pPr>
    <w:rPr>
      <w:lang w:bidi="en-US"/>
    </w:rPr>
  </w:style>
  <w:style w:type="paragraph" w:styleId="Header">
    <w:name w:val="header"/>
    <w:basedOn w:val="Normal"/>
    <w:link w:val="HeaderChar"/>
    <w:uiPriority w:val="99"/>
    <w:unhideWhenUsed/>
    <w:rsid w:val="007F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6AC"/>
    <w:rPr>
      <w:rFonts w:asciiTheme="majorHAnsi" w:hAnsiTheme="majorHAnsi"/>
      <w:sz w:val="26"/>
    </w:rPr>
  </w:style>
  <w:style w:type="paragraph" w:styleId="Footer">
    <w:name w:val="footer"/>
    <w:basedOn w:val="Normal"/>
    <w:link w:val="FooterChar"/>
    <w:uiPriority w:val="99"/>
    <w:unhideWhenUsed/>
    <w:rsid w:val="007F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6AC"/>
    <w:rPr>
      <w:rFonts w:asciiTheme="majorHAnsi" w:hAnsiTheme="majorHAnsi"/>
      <w:sz w:val="26"/>
    </w:rPr>
  </w:style>
  <w:style w:type="paragraph" w:styleId="FootnoteText">
    <w:name w:val="footnote text"/>
    <w:basedOn w:val="Normal"/>
    <w:link w:val="FootnoteTextChar"/>
    <w:uiPriority w:val="99"/>
    <w:semiHidden/>
    <w:unhideWhenUsed/>
    <w:rsid w:val="00BF1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2B3"/>
    <w:rPr>
      <w:rFonts w:asciiTheme="majorHAnsi" w:hAnsiTheme="majorHAnsi"/>
      <w:sz w:val="20"/>
      <w:szCs w:val="20"/>
    </w:rPr>
  </w:style>
  <w:style w:type="character" w:styleId="FootnoteReference">
    <w:name w:val="footnote reference"/>
    <w:basedOn w:val="DefaultParagraphFont"/>
    <w:uiPriority w:val="99"/>
    <w:semiHidden/>
    <w:unhideWhenUsed/>
    <w:rsid w:val="00BF12B3"/>
    <w:rPr>
      <w:vertAlign w:val="superscript"/>
    </w:rPr>
  </w:style>
  <w:style w:type="table" w:styleId="TableGrid">
    <w:name w:val="Table Grid"/>
    <w:basedOn w:val="TableNormal"/>
    <w:uiPriority w:val="59"/>
    <w:rsid w:val="001E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B262D9"/>
    <w:pPr>
      <w:spacing w:line="240" w:lineRule="auto"/>
    </w:pPr>
    <w:rPr>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5609">
      <w:bodyDiv w:val="1"/>
      <w:marLeft w:val="0"/>
      <w:marRight w:val="0"/>
      <w:marTop w:val="0"/>
      <w:marBottom w:val="0"/>
      <w:divBdr>
        <w:top w:val="none" w:sz="0" w:space="0" w:color="auto"/>
        <w:left w:val="none" w:sz="0" w:space="0" w:color="auto"/>
        <w:bottom w:val="none" w:sz="0" w:space="0" w:color="auto"/>
        <w:right w:val="none" w:sz="0" w:space="0" w:color="auto"/>
      </w:divBdr>
      <w:divsChild>
        <w:div w:id="1825471150">
          <w:marLeft w:val="0"/>
          <w:marRight w:val="0"/>
          <w:marTop w:val="0"/>
          <w:marBottom w:val="0"/>
          <w:divBdr>
            <w:top w:val="none" w:sz="0" w:space="0" w:color="auto"/>
            <w:left w:val="none" w:sz="0" w:space="0" w:color="auto"/>
            <w:bottom w:val="none" w:sz="0" w:space="0" w:color="auto"/>
            <w:right w:val="none" w:sz="0" w:space="0" w:color="auto"/>
          </w:divBdr>
        </w:div>
        <w:div w:id="423114097">
          <w:marLeft w:val="0"/>
          <w:marRight w:val="0"/>
          <w:marTop w:val="0"/>
          <w:marBottom w:val="0"/>
          <w:divBdr>
            <w:top w:val="none" w:sz="0" w:space="0" w:color="auto"/>
            <w:left w:val="none" w:sz="0" w:space="0" w:color="auto"/>
            <w:bottom w:val="none" w:sz="0" w:space="0" w:color="auto"/>
            <w:right w:val="none" w:sz="0" w:space="0" w:color="auto"/>
          </w:divBdr>
        </w:div>
        <w:div w:id="1094127227">
          <w:marLeft w:val="0"/>
          <w:marRight w:val="0"/>
          <w:marTop w:val="0"/>
          <w:marBottom w:val="0"/>
          <w:divBdr>
            <w:top w:val="none" w:sz="0" w:space="0" w:color="auto"/>
            <w:left w:val="none" w:sz="0" w:space="0" w:color="auto"/>
            <w:bottom w:val="none" w:sz="0" w:space="0" w:color="auto"/>
            <w:right w:val="none" w:sz="0" w:space="0" w:color="auto"/>
          </w:divBdr>
        </w:div>
        <w:div w:id="2121293250">
          <w:marLeft w:val="0"/>
          <w:marRight w:val="0"/>
          <w:marTop w:val="0"/>
          <w:marBottom w:val="0"/>
          <w:divBdr>
            <w:top w:val="none" w:sz="0" w:space="0" w:color="auto"/>
            <w:left w:val="none" w:sz="0" w:space="0" w:color="auto"/>
            <w:bottom w:val="none" w:sz="0" w:space="0" w:color="auto"/>
            <w:right w:val="none" w:sz="0" w:space="0" w:color="auto"/>
          </w:divBdr>
        </w:div>
        <w:div w:id="183133619">
          <w:marLeft w:val="0"/>
          <w:marRight w:val="0"/>
          <w:marTop w:val="0"/>
          <w:marBottom w:val="0"/>
          <w:divBdr>
            <w:top w:val="none" w:sz="0" w:space="0" w:color="auto"/>
            <w:left w:val="none" w:sz="0" w:space="0" w:color="auto"/>
            <w:bottom w:val="none" w:sz="0" w:space="0" w:color="auto"/>
            <w:right w:val="none" w:sz="0" w:space="0" w:color="auto"/>
          </w:divBdr>
        </w:div>
      </w:divsChild>
    </w:div>
    <w:div w:id="1404377518">
      <w:bodyDiv w:val="1"/>
      <w:marLeft w:val="0"/>
      <w:marRight w:val="0"/>
      <w:marTop w:val="0"/>
      <w:marBottom w:val="0"/>
      <w:divBdr>
        <w:top w:val="none" w:sz="0" w:space="0" w:color="auto"/>
        <w:left w:val="none" w:sz="0" w:space="0" w:color="auto"/>
        <w:bottom w:val="none" w:sz="0" w:space="0" w:color="auto"/>
        <w:right w:val="none" w:sz="0" w:space="0" w:color="auto"/>
      </w:divBdr>
      <w:divsChild>
        <w:div w:id="787166864">
          <w:marLeft w:val="0"/>
          <w:marRight w:val="0"/>
          <w:marTop w:val="0"/>
          <w:marBottom w:val="0"/>
          <w:divBdr>
            <w:top w:val="none" w:sz="0" w:space="0" w:color="auto"/>
            <w:left w:val="none" w:sz="0" w:space="0" w:color="auto"/>
            <w:bottom w:val="none" w:sz="0" w:space="0" w:color="auto"/>
            <w:right w:val="none" w:sz="0" w:space="0" w:color="auto"/>
          </w:divBdr>
        </w:div>
        <w:div w:id="1139884703">
          <w:marLeft w:val="0"/>
          <w:marRight w:val="0"/>
          <w:marTop w:val="0"/>
          <w:marBottom w:val="0"/>
          <w:divBdr>
            <w:top w:val="none" w:sz="0" w:space="0" w:color="auto"/>
            <w:left w:val="none" w:sz="0" w:space="0" w:color="auto"/>
            <w:bottom w:val="none" w:sz="0" w:space="0" w:color="auto"/>
            <w:right w:val="none" w:sz="0" w:space="0" w:color="auto"/>
          </w:divBdr>
        </w:div>
        <w:div w:id="1625308208">
          <w:marLeft w:val="0"/>
          <w:marRight w:val="0"/>
          <w:marTop w:val="0"/>
          <w:marBottom w:val="0"/>
          <w:divBdr>
            <w:top w:val="none" w:sz="0" w:space="0" w:color="auto"/>
            <w:left w:val="none" w:sz="0" w:space="0" w:color="auto"/>
            <w:bottom w:val="none" w:sz="0" w:space="0" w:color="auto"/>
            <w:right w:val="none" w:sz="0" w:space="0" w:color="auto"/>
          </w:divBdr>
        </w:div>
        <w:div w:id="289553674">
          <w:marLeft w:val="0"/>
          <w:marRight w:val="0"/>
          <w:marTop w:val="0"/>
          <w:marBottom w:val="0"/>
          <w:divBdr>
            <w:top w:val="none" w:sz="0" w:space="0" w:color="auto"/>
            <w:left w:val="none" w:sz="0" w:space="0" w:color="auto"/>
            <w:bottom w:val="none" w:sz="0" w:space="0" w:color="auto"/>
            <w:right w:val="none" w:sz="0" w:space="0" w:color="auto"/>
          </w:divBdr>
        </w:div>
        <w:div w:id="839389878">
          <w:marLeft w:val="0"/>
          <w:marRight w:val="0"/>
          <w:marTop w:val="0"/>
          <w:marBottom w:val="0"/>
          <w:divBdr>
            <w:top w:val="none" w:sz="0" w:space="0" w:color="auto"/>
            <w:left w:val="none" w:sz="0" w:space="0" w:color="auto"/>
            <w:bottom w:val="none" w:sz="0" w:space="0" w:color="auto"/>
            <w:right w:val="none" w:sz="0" w:space="0" w:color="auto"/>
          </w:divBdr>
        </w:div>
        <w:div w:id="1673756373">
          <w:marLeft w:val="0"/>
          <w:marRight w:val="0"/>
          <w:marTop w:val="0"/>
          <w:marBottom w:val="0"/>
          <w:divBdr>
            <w:top w:val="none" w:sz="0" w:space="0" w:color="auto"/>
            <w:left w:val="none" w:sz="0" w:space="0" w:color="auto"/>
            <w:bottom w:val="none" w:sz="0" w:space="0" w:color="auto"/>
            <w:right w:val="none" w:sz="0" w:space="0" w:color="auto"/>
          </w:divBdr>
        </w:div>
        <w:div w:id="1371108274">
          <w:marLeft w:val="0"/>
          <w:marRight w:val="0"/>
          <w:marTop w:val="0"/>
          <w:marBottom w:val="0"/>
          <w:divBdr>
            <w:top w:val="none" w:sz="0" w:space="0" w:color="auto"/>
            <w:left w:val="none" w:sz="0" w:space="0" w:color="auto"/>
            <w:bottom w:val="none" w:sz="0" w:space="0" w:color="auto"/>
            <w:right w:val="none" w:sz="0" w:space="0" w:color="auto"/>
          </w:divBdr>
        </w:div>
        <w:div w:id="726295834">
          <w:marLeft w:val="0"/>
          <w:marRight w:val="0"/>
          <w:marTop w:val="0"/>
          <w:marBottom w:val="0"/>
          <w:divBdr>
            <w:top w:val="none" w:sz="0" w:space="0" w:color="auto"/>
            <w:left w:val="none" w:sz="0" w:space="0" w:color="auto"/>
            <w:bottom w:val="none" w:sz="0" w:space="0" w:color="auto"/>
            <w:right w:val="none" w:sz="0" w:space="0" w:color="auto"/>
          </w:divBdr>
        </w:div>
        <w:div w:id="78199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V&#259;n%20b&#7843;n%20Th&#244;ng%20th&#432;&#7901;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AAD6-90CC-4295-969C-0F738C33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Văn bản Thông thường.dotx</Template>
  <TotalTime>570</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TEL: 0932 291 195</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Long</dc:creator>
  <cp:keywords/>
  <dc:description/>
  <cp:lastModifiedBy>A</cp:lastModifiedBy>
  <cp:revision>280</cp:revision>
  <dcterms:created xsi:type="dcterms:W3CDTF">2017-07-24T07:05:00Z</dcterms:created>
  <dcterms:modified xsi:type="dcterms:W3CDTF">2017-11-21T09:25:00Z</dcterms:modified>
</cp:coreProperties>
</file>